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fldChar w:fldCharType="begin"/>
      </w: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instrText xml:space="preserve"> HYPERLINK "http://conference.moi2030.ssf-bg.eu/2017/03/27/%d1%82%d0%b5%d0%bc%d0%b8/" </w:instrText>
      </w: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fldChar w:fldCharType="separate"/>
      </w:r>
      <w:r w:rsidRPr="00F0490E">
        <w:rPr>
          <w:rFonts w:ascii="Arial" w:eastAsia="Times New Roman" w:hAnsi="Arial" w:cs="Arial"/>
          <w:b/>
          <w:bCs/>
          <w:color w:val="1A1A1A"/>
          <w:sz w:val="20"/>
          <w:szCs w:val="20"/>
          <w:lang w:eastAsia="bg-BG"/>
        </w:rPr>
        <w:t>Теми</w:t>
      </w: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fldChar w:fldCharType="end"/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ПАНЕЛ 1. Реформи в променената среда за сигурност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>Ключови области: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Граждански права и сигурност – измерения в 21 век, реформа, политики, нормативна база.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АНОТАЦИЯ: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Докладите трябва да отразяват спецификите на променената среда и предизвикателствата пред МВР на национално и Европейско ниво, а също така да включват предложения за промяна на стратегическо ниво. Докладите, които се представят и касаят политиките за сигурност трябва да съдържат поне един от следните елементи: кратко-, средно- и дългосрочни мерки за повишаване качеството на услугата „сигурност“ и ефективността на МВР. В тази тема могат да се представят научни доклади, които анализират и систематизират съществуващите политики, измерват тяхната адекватност и целесъобразност и предлагат конкретни мерки за повишаване на ефективността на МВР и качеството на услугата „сигурност“.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В този панел се разглеждат темите за гражданските права и свободи, както и в каква степен мерките, предприети в тези области отговарят на реалната ситуация, нужди и потребности на гражданите на Република България и служителите в МВР.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В този панел могат да се представят доклади, които разглеждат  корелацията между мерките за сигурност, ограничаването на гражданските права и свободи и степента на ефективност на тези ограничения по отношение качеството на работа на служителите в МВР.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могат да бъдат изготвени на база на проведени теренни изследвания, като са допустими доклади, които изследват степента на ограничаване на правата на служителите и гражданите, ефекта върху работата и нагласите на гражданите и служителите и склонността им да приемат ограничаването на тези свои права, както и по какъв начин това кореспондира с принципите на демокрацията и до каква степен подобно ограничение представлява отстъпление от тях.  В този панел са допустими доклади, които разглеждат всички видове политики в сферата на обществен ред и сигурност и биха допринесли за повишаване ефективността на работа на МВР и сигурността на гражданите.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ПАНЕЛ 2. МВР и гражданите: линии на взаимодействие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>Ключови области: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1. Гражданско участие в политиките, граждански мониторинг и контрол върху дейността.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2. Превенция, разкриваемост, сигурност.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АНОТАЦИЯ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В този панел, научните доклади трябва да разглеждат темите, касаещи възможностите за гражданско участие в планирането, прилагането, изпълнението и отчетността на политиките за сигурност и възможността за постоянен мониторинг на този процес. Една 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lastRenderedPageBreak/>
        <w:t>от важните теми е свързана с информираността на гражданите за Научните доклади трябва да включват анализ на методите, стандартите и дълго-, средно- и краткосрочните политики за подбор и повишаване на професионалната квалификация на служителите в МВР, както и препоръки за повишаване на професионалната квалификация на служителите. В научните доклади могат да бъдат разгледани отделни компоненти на професионалната подготовка на служителите в МВР. Важен компонент в този панел е качеството на оборудване, обучение и екипировка на служителите в МВР в България, които са основен инструмент за повишаване на ефективността им и повишаване на качеството на услугата „сигурност“. Допуска се в докладите да има аналогия с оборудването, екипировката и обучението на служители в правоохранителни институции в ЕС.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Втората тема, която е включена в този панел се отнася до обучението и последващата професионална квалификация, която получават служителите в МВР, целящи развитието и поддържането на социални и езикови компетенции.  В научните доклади е важно да бъдат разгледани съществуващите програми за обучени и квалификация на служителите в МВР, критериите за участие на служителите в тях и да бъдат представени препоръки за включване на нови теми или промяна на политиките за професионална квалификация.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трябва да разглеждат служебните правомощия на служителите,  доколко те отговарят на нуждите на гражданите и в каква степен им помагат да изпълняват служебните си задължения и защитят здравето и живота си в рискови ситуации. В този панел се разглежда и темата за ролята и функциите на синдикалните организации, правната защита, стандартът  „абсолютна необходимост“ и доколко има ясно и обективно измерими критерии за неговото прилагане. Другата тема е свързана с материалната обезпеченост по отношение на средствата за лична защита, тяхното качество и политиките в тази сфера. Друг акцент в този панел е профилактиката и превенцията на социално-значими заболявания и мерките, които се предприемат в тази област и политиките на МВР за психично здраве на служителите. В докладите могат да бъдат представени данни от направени изследвания, анализи на наличните програми и политики касаещи повишаване на мотивацията на служителите, управление на професионалният стрес, психологическата помощ и подкрепа, съществуващите механизми за нейното оказване. В научните доклади трябва да бъдат включени препоръки за подобряване на политиките в тази област.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i/>
          <w:iCs/>
          <w:sz w:val="20"/>
          <w:szCs w:val="20"/>
          <w:lang w:eastAsia="bg-BG"/>
        </w:rPr>
        <w:t> 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могат да са базирани на получени данни от емпирични изследвания, сравнителен анализ между мерките в България и ЕС или анализ на съществуващите нормативни документи, но задължително трябва да включват препоръки за повишаване сигурността и безопасността на служителите в МВР. Научните доклади могат да разглеждат работата на МВР, степента на  гражданска активност и мотивация на гражданите да участват и активно да подпомагат дейността на МВР.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доклади, могат  да разглеждат  и съвременните аспекти и политики в ЕС по отношение на превенцията и разкриваемостта на правоохранителните служби и какви са политиките в тази област в МВР. Научните доклади може да разглеждат политиките за превенция и разкриваемост в МВР и да съдържат анализ на индикаторите за измерване на ефективността на ведомството във всяка от едната области. Всички научни доклади трябва да съдържат препоръки за подобряване работата и повишаване ефективността на МВР.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Превенцията може да бъде разглеждана в широк смисъл като превенция на употребата на наркотични и упойващи вещества, трафик на хора, противообществено поведение и прояви и др. в в т.ч.  може да бъде включена превенцията и защитата от дискриминация на гражданите, както и доколко те са ефикасни и ефективни.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ПАНЕЛ 3. МВР: добро управление в услуга на обществото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>Ключови области: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1. Качество на управление на системата.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2. Качество на услугата „сигурност“.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3. Осигуряване на професионалната работа в МВР.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4. Сигурност, безопасност, защита на служителите.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АНОТАЦИЯ: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трябва да разглеждат служебните правомощия на служителите,  доколко те отговарят на нуждите на гражданите и в каква степен им помагат да изпълняват служебните си задължения и защитят здравето и живота си в рискови ситуации. В този панел се разглежда и темата за ролята и функциите на синдикалните организации, правната защита, стандартът  „абсолютна необходимост“ и доколко има ясно и обективно измерими критерии за неговото прилагане. Другата тема е свързана с материалната обезпеченост по отношение на средствата за лична защита, тяхното качество и политиките в тази сфера. Друг акцент в този панел е профилактиката и превенцията на социално-значими заболявания и мерките, които се предприемат в тази област и политиките на МВР за психично здраве на служителите. В докладите могат да бъдат представени данни от направени изследвания, анализи на наличните програми и политики касаещи повишаване на мотивацията на служителите, управление на професионалният стрес, психологическата помощ и подкрепа, съществуващите механизми за нейното оказване. В научните доклади трябва да бъдат включени препоръки за подобряване на политиките в тази област.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i/>
          <w:iCs/>
          <w:sz w:val="20"/>
          <w:szCs w:val="20"/>
          <w:lang w:eastAsia="bg-BG"/>
        </w:rPr>
        <w:t> 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могат да са базирани на получени данни от емпирични изследвания, сравнителен анализ между мерките в България и ЕС или анализ на съществуващите нормативни документи, но задължително трябва да включват препоръки за повишаване сигурността и безопасността на служителите в МВР.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Научните доклади трябва да включват анализ на методите, стандартите и дълго-, средно- и краткосрочните политики за подбор и повишаване на професионалната квалификация на служителите в МВР, както и препоръки за повишаване на професионалната квалификация на служителите. В научните доклади могат да бъдат разгледани отделни компоненти на професионалната подготовка на служителите в МВР. Важен компонент в този панел е качеството на оборудване, обучение и екипировка на служителите в МВР в България, които са основен инструмент за повишаване на ефективността им и повишаване на качеството на услугата „сигурност“. Допуска се в докладите да има аналогия с оборудването, екипировката и обучението на служители в правоохранителни институции в ЕС.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Втората тема, която е включена в този панел се отнася до обучението и последващата професионална квалификация, която получават служителите в МВР, целящи развитието и поддържането на социални и езикови компетенции.  В научните доклади е важно да бъдат разгледани съществуващите програми за обучени и квалификация на служителите в МВР, критериите за участие на служителите в тях и да бъдат представени препоръки за включване на нови теми или промяна на политиките за професионална квалификация.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6" w:history="1"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ИЗИСКВАНИЯ</w:t>
        </w:r>
      </w:hyperlink>
    </w:p>
    <w:p w:rsidR="00763ABB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ИЗИСКВАНИЯ КЪМ РЕЗЮМЕТАТА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резюметата на научните доклади, трябва да включват: темата на доклада, панелът, в който 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lastRenderedPageBreak/>
        <w:t>авторът смята, че попада докладът и описание на основните акценти и теми, които ще бъдат представени в научния доклад ( до 200 думи). Резюметата ще бъдат набирани посредством специална регистрационна форма, която е публикувана на сайта на Конференцията. Авторите трябва да предоставят задължително контактна информация ( телефон и имейл), която да бъде използвана от представителите на организационния комитет в случай, че има възникнали въпроси.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ИЗИСКВАНИЯ КЪМ ДОКЛАДИТЕ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Текстовете на научните доклади трябва да са подготвени за печат в DOC и в PDF формат, без странициране. Не се предвижда допълнително редактиране.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Максимален обем: 10 страници A4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1. Полетата на всяка страница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трябва да са: ляво – 20 мм, дясно – 15 мм, горно- 15 мм, долно – 15 мм.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2. Текстът 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да бъде оформен по следния начин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ЗАГЛАВИЕTO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 – Font: Times New Roman; Size: 14; Font style: Bold; Effects: All Caps; Paragraph Alignment: Centered.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ИМЕНАТА НА АВТОРИТЕ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 се печатат през 1 празен ред под заглавието в разгърнат вид – пълно собствено, инициал на бащиното и пълно фамилно име; Font: Times New Roman, Size: 14, Font style: Bold, Paragraph Alignment: Centered.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АДРЕСИTE ЗА КОРЕСПОНДЕНЦИЯ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 се изписват през още един празен ред (без абревиатури), Font: Times New Roman, Size: 14; Font style: Italic, Effects: All Caps, Paragraph Alignment: Centered.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ЗАГЛАВИЕТО И ИМЕНАТА НА АВТОРИТЕ НА АНГЛИЙСКИ ЕЗИК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 се разполагат както следва: заглавие през 2 празни реда под адресите за кореспонденция; имената през 1 празен ред под него – стиловото им оформяне съответства на българските им еквиваленти.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АНОТАЦИЯТА И КЛЮЧОВИТЕ ДУМИ НА АНГЛИЙСКИ ЕЗИК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 се оформят така: анотацията (ABSTRACT) в обем до 5 реда през 1 празен ред – Font: Times New Roman, Size: 12, Font style: Italic, Paragraph Alignment: Justified; през 1 празен ред следват ключовите думи (дескриптори – KEY WORDS) – Font: Times New Roman, Size: 12, Font style: Italic; Paragraph Alignment: Justified, и двата елемента с отстъп 0,5 cm вляво от рамката, ограничаваща основния текст.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ОСНОВЕН ТЕКСТ 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– Започва през 1 празен ред. Font: Times New Roman, Size: 12; Paragraph First line: 0,5 cm, Line spacing: Single, Alignment: Justified.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3.Графиките и фигурите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трябва да бъдат прецизно изработени, интегрирани към текста и да имат номерация под тях. Шрифтът в тях да е с размер 10 pt.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4. Литературата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посочена в края на доклада, се изписва съгласно стандарта за библиографско описание, а цитираната в текста се означава с цифра, заградена в квадратни скоби [ ].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5. Научните доклади да не съдържат класифицирана информация по смисъла на член 1 ал. (3) от Закона за защита на класифицираната информация. 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При некоректно подадена информация авторът носи отговорност по чл. 31 от ЗЗКИ.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По-долу може да изтеглите примерен файл с отразени изискванията към докладите, който да ползвате като шаблон.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Научните доклади, които не са подготвени съгласно изискванията и не са получени до определения краен срок, няма да бъдат представени на научно-практическата конференция и няма да бъдат отпечатани.  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Научните доклади се изпращат в електронен вид на сайта на </w:t>
      </w:r>
      <w:r w:rsidR="00763ABB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к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онференцията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(</w:t>
      </w:r>
      <w:hyperlink r:id="rId7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http://conference.moi2030.ssf-bg.eu/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) 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или на имейл-адресът на Конференцията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(</w:t>
      </w:r>
      <w:hyperlink r:id="rId8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conference.MoI2030@gmail.com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>)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 xml:space="preserve"> Същите се включват в програмата след преглеждане и установяване, че съответстват с изискванията. Научните доклади на конференцията ще бъдат отпечатани в сборник.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ТЕМА:  МВР 2030: ПРЕДИЗВИКАТЕЛСТВА ПРЕД  ПОЛИТИКИТЕ ЗА СИГУРНОСТ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Научно-приложна конференция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ЦЕЛИ НА КОНФЕРЕНЦИЯТА: </w:t>
      </w:r>
    </w:p>
    <w:p w:rsidR="00F0490E" w:rsidRPr="00F0490E" w:rsidRDefault="00F0490E" w:rsidP="00763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Да се разгледат и анализират основните предизвикателства пред МВР и да се предложат решения за справяне с възникналите проблеми.</w:t>
      </w:r>
    </w:p>
    <w:p w:rsidR="00F0490E" w:rsidRPr="00F0490E" w:rsidRDefault="00F0490E" w:rsidP="00763A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Да се постигне съгласие за необходимостта от устойчиви реформи и да се разшири кръга от експерти, участващи в дебата и реформирането на МВР.</w:t>
      </w:r>
    </w:p>
    <w:p w:rsidR="00F0490E" w:rsidRPr="00F0490E" w:rsidRDefault="00F0490E" w:rsidP="00763A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Да се поставят основите на нови стратегия за обществен ред и сигурност до 2030 г. и нов Закон за Министерство на вътрешните работи.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ПАНЕЛ 1. Реформи в променената среда за сигурност 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 </w:t>
      </w: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 xml:space="preserve">Ключови области: 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Граждански права и сигурност – измерения в 21 век, реформа, политики, нормативна база.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ПАНЕЛ 2. МВР и гражданите: линии на взаимодействие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 </w:t>
      </w: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>Ключови области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:</w:t>
      </w:r>
    </w:p>
    <w:p w:rsidR="00F0490E" w:rsidRPr="00F0490E" w:rsidRDefault="00F0490E" w:rsidP="00763A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lastRenderedPageBreak/>
        <w:t>Гражданско участие в политиките, граждански мониторинг и контрол върху дейността.</w:t>
      </w:r>
    </w:p>
    <w:p w:rsidR="00F0490E" w:rsidRPr="00F0490E" w:rsidRDefault="00F0490E" w:rsidP="00763A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Превенция, разкриваемост, сигурност.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ПАНЕЛ 3. МВР: добро управление в услуга на обществото 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 </w:t>
      </w: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 xml:space="preserve">Ключови области: </w:t>
      </w:r>
    </w:p>
    <w:p w:rsidR="00F0490E" w:rsidRPr="00F0490E" w:rsidRDefault="00F0490E" w:rsidP="00763A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Качество на управление на системата.</w:t>
      </w:r>
    </w:p>
    <w:p w:rsidR="00F0490E" w:rsidRPr="00F0490E" w:rsidRDefault="00F0490E" w:rsidP="00763A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Качество на услугата „сигурност“.</w:t>
      </w:r>
    </w:p>
    <w:p w:rsidR="00F0490E" w:rsidRPr="00F0490E" w:rsidRDefault="00F0490E" w:rsidP="00763A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Осигуряване на професионалната работа в МВР.</w:t>
      </w:r>
    </w:p>
    <w:p w:rsidR="00F0490E" w:rsidRPr="00F0490E" w:rsidRDefault="00F0490E" w:rsidP="00763A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Сигурност, безопасност, защита на служителите.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Дата на провеждане: 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8 ноември 2017 год.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Място на провеждане: 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Университет за национално и световно стопанство (УНСС)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Организатори: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Фондация „Общество и сигурност“ (</w:t>
      </w:r>
      <w:hyperlink r:id="rId9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http://ssf-bg.eu/bg/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>)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Катедри „Национална и регионална сигурност“ и  „Публична администрация“, УНСС (</w:t>
      </w:r>
      <w:hyperlink r:id="rId10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http://www.unwe.bg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>)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Синдикална федерация на служителите в Министерство на вътрешните работи (</w:t>
      </w:r>
      <w:hyperlink r:id="rId11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http://sfsmvr.org/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>)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F0490E" w:rsidRPr="00F0490E" w:rsidRDefault="00F0490E" w:rsidP="00763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noProof/>
          <w:vanish/>
          <w:sz w:val="20"/>
          <w:szCs w:val="20"/>
          <w:lang w:eastAsia="bg-BG"/>
        </w:rPr>
        <w:drawing>
          <wp:inline distT="0" distB="0" distL="0" distR="0" wp14:anchorId="6700B3F6" wp14:editId="2104DFC7">
            <wp:extent cx="466725" cy="466725"/>
            <wp:effectExtent l="0" t="0" r="0" b="0"/>
            <wp:docPr id="3" name="Picture 3" descr="http://1.gravatar.com/avatar/19e6ad2210e59d7ac2c48aec346df3c9?s=49&amp;d=blank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gravatar.com/avatar/19e6ad2210e59d7ac2c48aec346df3c9?s=49&amp;d=blank&amp;r=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90E">
        <w:rPr>
          <w:rFonts w:ascii="Arial" w:eastAsia="Times New Roman" w:hAnsi="Arial" w:cs="Arial"/>
          <w:vanish/>
          <w:sz w:val="20"/>
          <w:szCs w:val="20"/>
          <w:lang w:eastAsia="bg-BG"/>
        </w:rPr>
        <w:t xml:space="preserve">Автор </w:t>
      </w:r>
      <w:hyperlink r:id="rId13" w:history="1">
        <w:r w:rsidRPr="00F0490E">
          <w:rPr>
            <w:rFonts w:ascii="Arial" w:eastAsia="Times New Roman" w:hAnsi="Arial" w:cs="Arial"/>
            <w:vanish/>
            <w:color w:val="007ACC"/>
            <w:sz w:val="20"/>
            <w:szCs w:val="20"/>
            <w:lang w:eastAsia="bg-BG"/>
          </w:rPr>
          <w:t>radi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14" w:history="1">
        <w:r w:rsidR="00763ABB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Условия за участие в к</w:t>
        </w:r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онференцията</w:t>
        </w:r>
      </w:hyperlink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 xml:space="preserve">В </w:t>
      </w:r>
      <w:r w:rsidR="00763ABB">
        <w:rPr>
          <w:rFonts w:ascii="Arial" w:eastAsia="Times New Roman" w:hAnsi="Arial" w:cs="Arial"/>
          <w:sz w:val="20"/>
          <w:szCs w:val="20"/>
          <w:u w:val="single"/>
          <w:lang w:eastAsia="bg-BG"/>
        </w:rPr>
        <w:t>к</w:t>
      </w:r>
      <w:r w:rsidRPr="00F0490E">
        <w:rPr>
          <w:rFonts w:ascii="Arial" w:eastAsia="Times New Roman" w:hAnsi="Arial" w:cs="Arial"/>
          <w:sz w:val="20"/>
          <w:szCs w:val="20"/>
          <w:u w:val="single"/>
          <w:lang w:eastAsia="bg-BG"/>
        </w:rPr>
        <w:t>онференцията с научни доклади могат да участват: 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Студенти, 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които завършват магистратура от висши училища в България и проявяват интерес към темата на научно-практическата конференция;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Преподаватели и докторанти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от висши училища, които да представят свои изследвания и разработки по темата на научно-практическата конференция.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Експерти от неправителствен сектор, професионални и браншови организации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Експерти по темата „Обществен ред и сигурност“ в държавна администрация, политически централи и представители на политически организации;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15" w:history="1"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Важни дати за предаване на резюмета и доклади!</w:t>
        </w:r>
      </w:hyperlink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ДО 15 ЮНИ 2017 г.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набиране на резюмета на научни доклади, които включват:  темата на доклада, панелът, в който авторът смята, че попада докладът и описание на основните акценти и теми, които ще бъдат представени в научния доклад ( до 200 думи).  Резюметата ще бъдат набирани посредством специална регистрационна форма, която е публикувана на сайта на Конференцията. Авторите трябва да предоставят задължително контактна информация ( телефон и имейл), която да бъде използвана от представителите на организационния комитет в случай, че има възникнали въпроси.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ДО 30 СЕПТЕМВРИ 2017 г.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Pr="00F0490E">
        <w:rPr>
          <w:rFonts w:ascii="Arial" w:eastAsia="Times New Roman" w:hAnsi="Arial" w:cs="Arial"/>
          <w:i/>
          <w:iCs/>
          <w:sz w:val="20"/>
          <w:szCs w:val="20"/>
          <w:lang w:eastAsia="bg-BG"/>
        </w:rPr>
        <w:t>предоставяне на научните доклади.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16" w:history="1"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Програмен съвет</w:t>
        </w:r>
      </w:hyperlink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проф. д-р Димитър Димитров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 декан на факултет „Икономика на инфраструктурата“ и ръководител на  катедра „Национална и регионална сигурност“ в УНСС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доц. д-р Александър Вълков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ръководител на катедра „Публична администрация“ в УНСС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доц. д-р Деница Горчилова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  научен секретар в катедра „Публична администрация“ в УНСС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доц. д-р Андрей Нончев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ръководител на катедра „Икономическа социология“ в УНСС и директор на Център за социологически и психологически изследвания при УНСС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доц. д-р Блага Благоева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 ръководител на катедра „Политология“ в УНСС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проф. д-р Николай Арабаджийски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преподавател в секция „Публична администрация“ към Департамент „Администрация и управление“ на Нов български университет.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Илия Кузманов,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председател на Настоятелство на Фондация „Общество и сигурност“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Валентин Попов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председател на УС на СФСМВР</w:t>
      </w:r>
    </w:p>
    <w:p w:rsidR="00F0490E" w:rsidRPr="00F0490E" w:rsidRDefault="00F0490E" w:rsidP="00763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noProof/>
          <w:vanish/>
          <w:sz w:val="20"/>
          <w:szCs w:val="20"/>
          <w:lang w:eastAsia="bg-BG"/>
        </w:rPr>
        <w:drawing>
          <wp:inline distT="0" distB="0" distL="0" distR="0" wp14:anchorId="5A6A0E28" wp14:editId="31ADF0C5">
            <wp:extent cx="466725" cy="466725"/>
            <wp:effectExtent l="0" t="0" r="0" b="0"/>
            <wp:docPr id="6" name="Picture 6" descr="http://1.gravatar.com/avatar/19e6ad2210e59d7ac2c48aec346df3c9?s=49&amp;d=blank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gravatar.com/avatar/19e6ad2210e59d7ac2c48aec346df3c9?s=49&amp;d=blank&amp;r=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90E">
        <w:rPr>
          <w:rFonts w:ascii="Arial" w:eastAsia="Times New Roman" w:hAnsi="Arial" w:cs="Arial"/>
          <w:vanish/>
          <w:sz w:val="20"/>
          <w:szCs w:val="20"/>
          <w:lang w:eastAsia="bg-BG"/>
        </w:rPr>
        <w:t xml:space="preserve">Автор </w:t>
      </w:r>
      <w:hyperlink r:id="rId17" w:history="1">
        <w:r w:rsidRPr="00F0490E">
          <w:rPr>
            <w:rFonts w:ascii="Arial" w:eastAsia="Times New Roman" w:hAnsi="Arial" w:cs="Arial"/>
            <w:vanish/>
            <w:color w:val="007ACC"/>
            <w:sz w:val="20"/>
            <w:szCs w:val="20"/>
            <w:lang w:eastAsia="bg-BG"/>
          </w:rPr>
          <w:t>radi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18" w:history="1"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Организационен комитет</w:t>
        </w:r>
      </w:hyperlink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Радостина Якимова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директор на Фондация „Общество и сигурност“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Ясен Цветков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докторант в катедра „Публична администрация“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Александър Йолов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докторант в катедра „Национална и регионална сигурност“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ас. д-р Тодорка Кинева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катедра „Икономическа социология“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Екатерина Митанкова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t>, докторант в катедра „Политология“</w:t>
      </w:r>
    </w:p>
    <w:p w:rsidR="00F0490E" w:rsidRPr="00F0490E" w:rsidRDefault="00F0490E" w:rsidP="00763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noProof/>
          <w:vanish/>
          <w:sz w:val="20"/>
          <w:szCs w:val="20"/>
          <w:lang w:eastAsia="bg-BG"/>
        </w:rPr>
        <w:drawing>
          <wp:inline distT="0" distB="0" distL="0" distR="0" wp14:anchorId="78FA800B" wp14:editId="3D0F14F7">
            <wp:extent cx="466725" cy="466725"/>
            <wp:effectExtent l="0" t="0" r="0" b="0"/>
            <wp:docPr id="7" name="Picture 7" descr="http://1.gravatar.com/avatar/19e6ad2210e59d7ac2c48aec346df3c9?s=49&amp;d=blank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gravatar.com/avatar/19e6ad2210e59d7ac2c48aec346df3c9?s=49&amp;d=blank&amp;r=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90E">
        <w:rPr>
          <w:rFonts w:ascii="Arial" w:eastAsia="Times New Roman" w:hAnsi="Arial" w:cs="Arial"/>
          <w:vanish/>
          <w:sz w:val="20"/>
          <w:szCs w:val="20"/>
          <w:lang w:eastAsia="bg-BG"/>
        </w:rPr>
        <w:t xml:space="preserve">Автор </w:t>
      </w:r>
      <w:hyperlink r:id="rId19" w:history="1">
        <w:r w:rsidRPr="00F0490E">
          <w:rPr>
            <w:rFonts w:ascii="Arial" w:eastAsia="Times New Roman" w:hAnsi="Arial" w:cs="Arial"/>
            <w:vanish/>
            <w:color w:val="007ACC"/>
            <w:sz w:val="20"/>
            <w:szCs w:val="20"/>
            <w:lang w:eastAsia="bg-BG"/>
          </w:rPr>
          <w:t>radi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F0490E" w:rsidRPr="00F0490E" w:rsidRDefault="00F0490E" w:rsidP="00763ABB">
      <w:pPr>
        <w:shd w:val="clear" w:color="auto" w:fill="FFFFFF"/>
        <w:spacing w:after="24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hyperlink r:id="rId20" w:history="1">
        <w:r w:rsidRPr="00F0490E">
          <w:rPr>
            <w:rFonts w:ascii="Arial" w:eastAsia="Times New Roman" w:hAnsi="Arial" w:cs="Arial"/>
            <w:b/>
            <w:bCs/>
            <w:color w:val="1A1A1A"/>
            <w:sz w:val="20"/>
            <w:szCs w:val="20"/>
            <w:lang w:eastAsia="bg-BG"/>
          </w:rPr>
          <w:t>Фондация „Общество и сигурност“</w:t>
        </w:r>
      </w:hyperlink>
    </w:p>
    <w:p w:rsidR="00F0490E" w:rsidRDefault="00F0490E" w:rsidP="00763ABB">
      <w:pPr>
        <w:shd w:val="clear" w:color="auto" w:fill="FFFFFF"/>
        <w:spacing w:after="42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Фондация „Общество и сигурност“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Ул. „Ангел Кънчев“ 2, ет. М, оф. 5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  <w:t>Тел. +359 2 983 44 45</w:t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F0490E">
        <w:rPr>
          <w:rFonts w:ascii="Arial" w:eastAsia="Times New Roman" w:hAnsi="Arial" w:cs="Arial"/>
          <w:sz w:val="20"/>
          <w:szCs w:val="20"/>
          <w:lang w:eastAsia="bg-BG"/>
        </w:rPr>
        <w:lastRenderedPageBreak/>
        <w:t xml:space="preserve">e-mail: </w:t>
      </w:r>
      <w:hyperlink r:id="rId21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conference.MoI2030@gmail.com</w:t>
        </w:r>
      </w:hyperlink>
      <w:r w:rsidRPr="00F0490E">
        <w:rPr>
          <w:rFonts w:ascii="Arial" w:eastAsia="Times New Roman" w:hAnsi="Arial" w:cs="Arial"/>
          <w:sz w:val="20"/>
          <w:szCs w:val="20"/>
          <w:lang w:eastAsia="bg-BG"/>
        </w:rPr>
        <w:br/>
      </w:r>
      <w:hyperlink r:id="rId22" w:history="1">
        <w:r w:rsidRPr="00F0490E">
          <w:rPr>
            <w:rFonts w:ascii="Arial" w:eastAsia="Times New Roman" w:hAnsi="Arial" w:cs="Arial"/>
            <w:color w:val="007ACC"/>
            <w:sz w:val="20"/>
            <w:szCs w:val="20"/>
            <w:lang w:eastAsia="bg-BG"/>
          </w:rPr>
          <w:t>ssf@ssf-bg.eu</w:t>
        </w:r>
      </w:hyperlink>
    </w:p>
    <w:p w:rsidR="00763ABB" w:rsidRPr="00F0490E" w:rsidRDefault="00763ABB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*Изпращайте Вашите запитвания, резюмета  и доклади на посочените имейли.</w:t>
      </w:r>
    </w:p>
    <w:p w:rsidR="00F0490E" w:rsidRPr="00F0490E" w:rsidRDefault="00F0490E" w:rsidP="00763ABB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0490E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E53AF1" w:rsidRPr="00763ABB" w:rsidRDefault="00E53AF1" w:rsidP="00763ABB">
      <w:pPr>
        <w:jc w:val="both"/>
        <w:rPr>
          <w:rFonts w:ascii="Arial" w:hAnsi="Arial" w:cs="Arial"/>
          <w:sz w:val="20"/>
          <w:szCs w:val="20"/>
        </w:rPr>
      </w:pPr>
    </w:p>
    <w:sectPr w:rsidR="00E53AF1" w:rsidRPr="0076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635"/>
    <w:multiLevelType w:val="multilevel"/>
    <w:tmpl w:val="2CDE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D0AA8"/>
    <w:multiLevelType w:val="multilevel"/>
    <w:tmpl w:val="F78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625903"/>
    <w:multiLevelType w:val="multilevel"/>
    <w:tmpl w:val="08B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4078BC"/>
    <w:multiLevelType w:val="multilevel"/>
    <w:tmpl w:val="186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C44284"/>
    <w:multiLevelType w:val="multilevel"/>
    <w:tmpl w:val="ED5A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6D7483"/>
    <w:multiLevelType w:val="multilevel"/>
    <w:tmpl w:val="4D0A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E"/>
    <w:rsid w:val="00763ABB"/>
    <w:rsid w:val="00E53AF1"/>
    <w:rsid w:val="00F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97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3485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131702614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197853229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1424452560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98782929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1055935135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1670982395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  <w:div w:id="4877364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MoI2030@gmail.com" TargetMode="External"/><Relationship Id="rId13" Type="http://schemas.openxmlformats.org/officeDocument/2006/relationships/hyperlink" Target="http://conference.moi2030.ssf-bg.eu/author/radi/" TargetMode="External"/><Relationship Id="rId18" Type="http://schemas.openxmlformats.org/officeDocument/2006/relationships/hyperlink" Target="http://conference.moi2030.ssf-bg.eu/2017/03/27/%d0%be%d1%80%d0%b3%d0%b0%d0%bd%d0%b8%d0%b7%d0%b0%d1%86%d0%b8%d0%be%d0%bd%d0%b5%d0%bd-%d0%ba%d0%be%d0%bc%d0%b8%d1%82%d0%b5%d1%8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onference.MoI2030@gmail.com" TargetMode="External"/><Relationship Id="rId7" Type="http://schemas.openxmlformats.org/officeDocument/2006/relationships/hyperlink" Target="http://conference.moi2030.ssf-bg.eu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conference.moi2030.ssf-bg.eu/author/radi/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erence.moi2030.ssf-bg.eu/2017/03/27/%d0%bf%d1%80%d0%be%d0%b3%d1%80%d0%b0%d0%bc%d0%b5%d0%bd-%d1%81%d1%8a%d0%b2%d0%b5%d1%82/" TargetMode="External"/><Relationship Id="rId20" Type="http://schemas.openxmlformats.org/officeDocument/2006/relationships/hyperlink" Target="http://conference.moi2030.ssf-bg.eu/2017/03/27/foundation-society-and-securi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ference.moi2030.ssf-bg.eu/2017/03/27/%d0%b8%d0%b7%d0%b8%d1%81%d0%ba%d0%b2%d0%b0%d0%bd%d0%b8%d1%8f/" TargetMode="External"/><Relationship Id="rId11" Type="http://schemas.openxmlformats.org/officeDocument/2006/relationships/hyperlink" Target="http://sfsmvr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nference.moi2030.ssf-bg.eu/2017/03/27/%d0%b5%d1%82%d0%b0%d0%bf%d0%b8-%d0%bd%d0%b0-%d0%bd%d0%b0%d0%b1%d0%b8%d1%80%d0%b0%d0%bd%d0%b5-%d0%bd%d0%b0-%d0%bd%d0%b0%d1%83%d1%87%d0%bd%d0%b8%d1%82%d0%b5-%d0%b4%d0%be%d0%ba%d0%bb%d0%b0%d0%b4%d0%b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nwe.bg/" TargetMode="External"/><Relationship Id="rId19" Type="http://schemas.openxmlformats.org/officeDocument/2006/relationships/hyperlink" Target="http://conference.moi2030.ssf-bg.eu/author/ra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f-bg.eu/bg/" TargetMode="External"/><Relationship Id="rId14" Type="http://schemas.openxmlformats.org/officeDocument/2006/relationships/hyperlink" Target="http://conference.moi2030.ssf-bg.eu/2017/03/27/%d0%b2-%d0%ba%d0%be%d0%bd%d1%84%d0%b5%d1%80%d0%b5%d0%bd%d1%86%d0%b8%d1%8f%d1%82%d0%b0-%d1%81%d1%8a%d1%81-%d1%81%d0%b2%d0%be%d0%b8-%d0%b4%d0%be%d0%ba%d0%bb%d0%b0%d0%b4%d0%b8-%d0%bc%d0%be%d0%b3%d0%b0/" TargetMode="External"/><Relationship Id="rId22" Type="http://schemas.openxmlformats.org/officeDocument/2006/relationships/hyperlink" Target="mailto:ssf@ssf-b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DULEVA</dc:creator>
  <cp:lastModifiedBy>LILI DULEVA</cp:lastModifiedBy>
  <cp:revision>2</cp:revision>
  <dcterms:created xsi:type="dcterms:W3CDTF">2017-10-03T05:43:00Z</dcterms:created>
  <dcterms:modified xsi:type="dcterms:W3CDTF">2017-10-03T05:43:00Z</dcterms:modified>
</cp:coreProperties>
</file>