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05" w:rsidRDefault="009455E2" w:rsidP="00E018BB">
      <w:pPr>
        <w:keepNext/>
        <w:spacing w:line="240" w:lineRule="auto"/>
        <w:jc w:val="center"/>
        <w:rPr>
          <w:b/>
          <w:sz w:val="28"/>
          <w:szCs w:val="28"/>
        </w:rPr>
      </w:pPr>
      <w:bookmarkStart w:id="0" w:name="OLE_LINK1"/>
      <w:bookmarkStart w:id="1" w:name="OLE_LINK2"/>
      <w:r w:rsidRPr="00A82344">
        <w:rPr>
          <w:b/>
          <w:sz w:val="28"/>
          <w:szCs w:val="28"/>
          <w:lang w:val="bg-BG"/>
        </w:rPr>
        <w:t>Фискални стумули от европейските структурни фондове в България през програмния период  2007</w:t>
      </w:r>
      <w:r w:rsidR="00BF7DAC" w:rsidRPr="00A82344">
        <w:rPr>
          <w:b/>
          <w:sz w:val="28"/>
          <w:szCs w:val="28"/>
        </w:rPr>
        <w:t xml:space="preserve"> </w:t>
      </w:r>
      <w:r w:rsidRPr="00A82344">
        <w:rPr>
          <w:b/>
          <w:sz w:val="28"/>
          <w:szCs w:val="28"/>
          <w:lang w:val="bg-BG"/>
        </w:rPr>
        <w:t>-</w:t>
      </w:r>
      <w:r w:rsidR="00BF7DAC" w:rsidRPr="00A82344">
        <w:rPr>
          <w:b/>
          <w:sz w:val="28"/>
          <w:szCs w:val="28"/>
        </w:rPr>
        <w:t xml:space="preserve"> </w:t>
      </w:r>
      <w:r w:rsidRPr="00A82344">
        <w:rPr>
          <w:b/>
          <w:sz w:val="28"/>
          <w:szCs w:val="28"/>
          <w:lang w:val="bg-BG"/>
        </w:rPr>
        <w:t>2013 г.</w:t>
      </w:r>
    </w:p>
    <w:bookmarkEnd w:id="0"/>
    <w:bookmarkEnd w:id="1"/>
    <w:p w:rsidR="00E018BB" w:rsidRPr="00E018BB" w:rsidRDefault="00E018BB" w:rsidP="00E018BB">
      <w:pPr>
        <w:keepNext/>
        <w:spacing w:line="240" w:lineRule="auto"/>
        <w:jc w:val="center"/>
        <w:rPr>
          <w:b/>
          <w:sz w:val="28"/>
          <w:szCs w:val="28"/>
        </w:rPr>
      </w:pPr>
    </w:p>
    <w:p w:rsidR="00ED66E5" w:rsidRPr="00FD02E7" w:rsidRDefault="00ED66E5" w:rsidP="00ED66E5">
      <w:pPr>
        <w:jc w:val="center"/>
      </w:pPr>
      <w:r w:rsidRPr="00FD02E7">
        <w:rPr>
          <w:rFonts w:cs="Arial"/>
          <w:bCs/>
          <w:lang w:val="bg-BG"/>
        </w:rPr>
        <w:t>Яна Пальова</w:t>
      </w:r>
      <w:r w:rsidRPr="00FD02E7">
        <w:rPr>
          <w:rFonts w:cs="Arial"/>
          <w:bCs/>
        </w:rPr>
        <w:t xml:space="preserve">, </w:t>
      </w:r>
      <w:r w:rsidRPr="00FD02E7">
        <w:rPr>
          <w:lang w:val="bg-BG"/>
        </w:rPr>
        <w:t>докторант към Института за икономически изследвания на БАН</w:t>
      </w:r>
      <w:r w:rsidRPr="00FD02E7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lang w:val="bg-BG"/>
        </w:rPr>
        <w:t>м</w:t>
      </w:r>
      <w:r w:rsidRPr="00FD02E7">
        <w:rPr>
          <w:rFonts w:eastAsia="Times New Roman"/>
          <w:color w:val="000000"/>
          <w:lang w:val="bg-BG"/>
        </w:rPr>
        <w:t>акроикономист</w:t>
      </w:r>
      <w:r w:rsidRPr="00FD02E7">
        <w:rPr>
          <w:rFonts w:eastAsia="Times New Roman"/>
          <w:color w:val="000000"/>
        </w:rPr>
        <w:t xml:space="preserve">, </w:t>
      </w:r>
      <w:r w:rsidRPr="00FD02E7">
        <w:rPr>
          <w:rFonts w:eastAsia="Times New Roman"/>
          <w:color w:val="000000"/>
          <w:lang w:val="bg-BG"/>
        </w:rPr>
        <w:t>Представителство на Международния валутен фонд в България</w:t>
      </w:r>
    </w:p>
    <w:p w:rsidR="00C9225C" w:rsidRDefault="00C9225C" w:rsidP="00C9225C">
      <w:pPr>
        <w:jc w:val="center"/>
        <w:rPr>
          <w:b/>
          <w:lang w:val="bg-BG"/>
        </w:rPr>
      </w:pPr>
    </w:p>
    <w:p w:rsidR="00C9225C" w:rsidRPr="00C9225C" w:rsidRDefault="00C9225C" w:rsidP="00C9225C">
      <w:pPr>
        <w:jc w:val="center"/>
        <w:rPr>
          <w:b/>
        </w:rPr>
      </w:pPr>
      <w:r w:rsidRPr="00C9225C">
        <w:rPr>
          <w:b/>
        </w:rPr>
        <w:t>Резюме  </w:t>
      </w:r>
    </w:p>
    <w:p w:rsidR="00C9225C" w:rsidRPr="00FD02E7" w:rsidRDefault="00C9225C" w:rsidP="00C9225C">
      <w:pPr>
        <w:jc w:val="both"/>
        <w:rPr>
          <w:lang w:val="bg-BG"/>
        </w:rPr>
      </w:pPr>
      <w:proofErr w:type="gramStart"/>
      <w:r w:rsidRPr="00FD02E7">
        <w:t>Грантовият елемент на европейските структурни фондове намалява финансовата граница в сравнение със стандартния фискален стимул.</w:t>
      </w:r>
      <w:proofErr w:type="gramEnd"/>
      <w:r w:rsidRPr="00FD02E7">
        <w:t xml:space="preserve"> </w:t>
      </w:r>
      <w:proofErr w:type="gramStart"/>
      <w:r w:rsidRPr="00FD02E7">
        <w:t>Структурните ф</w:t>
      </w:r>
      <w:r w:rsidRPr="00FD02E7">
        <w:rPr>
          <w:lang w:val="bg-BG"/>
        </w:rPr>
        <w:t>ондове на Европейския съюз</w:t>
      </w:r>
      <w:r w:rsidR="004F3606">
        <w:t xml:space="preserve"> (</w:t>
      </w:r>
      <w:r w:rsidR="004F3606">
        <w:rPr>
          <w:lang w:val="bg-BG"/>
        </w:rPr>
        <w:t>ЕС)</w:t>
      </w:r>
      <w:r w:rsidRPr="00FD02E7">
        <w:rPr>
          <w:lang w:val="bg-BG"/>
        </w:rPr>
        <w:t xml:space="preserve"> </w:t>
      </w:r>
      <w:r w:rsidR="004F3606">
        <w:rPr>
          <w:lang w:val="bg-BG"/>
        </w:rPr>
        <w:t xml:space="preserve">обаче </w:t>
      </w:r>
      <w:r w:rsidRPr="00FD02E7">
        <w:rPr>
          <w:lang w:val="bg-BG"/>
        </w:rPr>
        <w:t xml:space="preserve">могат да </w:t>
      </w:r>
      <w:r w:rsidRPr="00FD02E7">
        <w:t xml:space="preserve">се </w:t>
      </w:r>
      <w:r w:rsidRPr="00FD02E7">
        <w:rPr>
          <w:lang w:val="bg-BG"/>
        </w:rPr>
        <w:t xml:space="preserve">разглеждат като </w:t>
      </w:r>
      <w:r w:rsidRPr="00FD02E7">
        <w:t>ф</w:t>
      </w:r>
      <w:r w:rsidRPr="00FD02E7">
        <w:rPr>
          <w:lang w:val="bg-BG"/>
        </w:rPr>
        <w:t>искален стимул</w:t>
      </w:r>
      <w:r w:rsidR="00926055">
        <w:rPr>
          <w:lang w:val="bg-BG"/>
        </w:rPr>
        <w:t>,</w:t>
      </w:r>
      <w:r w:rsidRPr="00FD02E7">
        <w:rPr>
          <w:lang w:val="bg-BG"/>
        </w:rPr>
        <w:t xml:space="preserve"> особено в периоди, когато икономиката се намира в период на бизнес цикъла под потенциалния</w:t>
      </w:r>
      <w:r>
        <w:t xml:space="preserve"> </w:t>
      </w:r>
      <w:r>
        <w:rPr>
          <w:lang w:val="bg-BG"/>
        </w:rPr>
        <w:t>си</w:t>
      </w:r>
      <w:r w:rsidRPr="00FD02E7">
        <w:rPr>
          <w:lang w:val="bg-BG"/>
        </w:rPr>
        <w:t xml:space="preserve"> растеж.</w:t>
      </w:r>
      <w:proofErr w:type="gramEnd"/>
      <w:r w:rsidRPr="00FD02E7">
        <w:t xml:space="preserve"> </w:t>
      </w:r>
      <w:proofErr w:type="gramStart"/>
      <w:r w:rsidRPr="00FD02E7">
        <w:t xml:space="preserve">В </w:t>
      </w:r>
      <w:r w:rsidRPr="00FD02E7">
        <w:rPr>
          <w:lang w:val="bg-BG"/>
        </w:rPr>
        <w:t>началото на програмния период 2007-2013, европейските фондове в България бяха основно аванси и надвишаваха разходите за финансиране на европейските проекти без ефект по отношение на съвкупното търсене.</w:t>
      </w:r>
      <w:proofErr w:type="gramEnd"/>
      <w:r w:rsidRPr="00FD02E7">
        <w:rPr>
          <w:lang w:val="bg-BG"/>
        </w:rPr>
        <w:t xml:space="preserve"> Към края на </w:t>
      </w:r>
      <w:r w:rsidR="006816B5">
        <w:rPr>
          <w:lang w:val="bg-BG"/>
        </w:rPr>
        <w:t>2015 г.</w:t>
      </w:r>
      <w:r w:rsidRPr="00FD02E7">
        <w:rPr>
          <w:lang w:val="bg-BG"/>
        </w:rPr>
        <w:t>, когато</w:t>
      </w:r>
      <w:r w:rsidRPr="00FD02E7">
        <w:t xml:space="preserve"> н</w:t>
      </w:r>
      <w:r w:rsidRPr="00FD02E7">
        <w:rPr>
          <w:lang w:val="bg-BG"/>
        </w:rPr>
        <w:t>е всички средства от Е</w:t>
      </w:r>
      <w:r w:rsidR="004F3606">
        <w:rPr>
          <w:lang w:val="bg-BG"/>
        </w:rPr>
        <w:t>С</w:t>
      </w:r>
      <w:r w:rsidRPr="00FD02E7">
        <w:rPr>
          <w:lang w:val="bg-BG"/>
        </w:rPr>
        <w:t xml:space="preserve"> </w:t>
      </w:r>
      <w:r w:rsidR="00BB0B3E">
        <w:rPr>
          <w:lang w:val="bg-BG"/>
        </w:rPr>
        <w:t>за програмния период</w:t>
      </w:r>
      <w:r w:rsidR="00BB0B3E">
        <w:t xml:space="preserve"> 2007-2013 </w:t>
      </w:r>
      <w:r w:rsidR="00BB0B3E">
        <w:rPr>
          <w:lang w:val="bg-BG"/>
        </w:rPr>
        <w:t>бяха</w:t>
      </w:r>
      <w:r w:rsidRPr="00FD02E7">
        <w:rPr>
          <w:lang w:val="bg-BG"/>
        </w:rPr>
        <w:t xml:space="preserve"> все още</w:t>
      </w:r>
      <w:r w:rsidR="00314689">
        <w:rPr>
          <w:lang w:val="bg-BG"/>
        </w:rPr>
        <w:t xml:space="preserve"> </w:t>
      </w:r>
      <w:r w:rsidRPr="00FD02E7">
        <w:rPr>
          <w:lang w:val="bg-BG"/>
        </w:rPr>
        <w:t xml:space="preserve">възстановени, префинансирането на европейските проекти от страна на националния бюджет оказа силен фискален стимул върху икономиката. </w:t>
      </w:r>
    </w:p>
    <w:p w:rsidR="00C9225C" w:rsidRDefault="00C9225C" w:rsidP="00C9225C">
      <w:pPr>
        <w:rPr>
          <w:b/>
          <w:lang w:val="bg-BG"/>
        </w:rPr>
      </w:pPr>
    </w:p>
    <w:p w:rsidR="00C9225C" w:rsidRPr="00FD02E7" w:rsidRDefault="00C9225C" w:rsidP="00C9225C">
      <w:pPr>
        <w:rPr>
          <w:lang w:val="bg-BG"/>
        </w:rPr>
      </w:pPr>
      <w:r w:rsidRPr="00C9225C">
        <w:rPr>
          <w:b/>
        </w:rPr>
        <w:t>Ключови думи</w:t>
      </w:r>
      <w:r w:rsidRPr="00FD02E7">
        <w:t xml:space="preserve">: </w:t>
      </w:r>
      <w:r w:rsidRPr="00FD02E7">
        <w:rPr>
          <w:lang w:val="bg-BG"/>
        </w:rPr>
        <w:t>България, Централна и Източна Европа, европейски структурни фондове, фискални стимули.</w:t>
      </w:r>
    </w:p>
    <w:p w:rsidR="00C9225C" w:rsidRPr="00C9225C" w:rsidRDefault="00C9225C" w:rsidP="000B7AE6">
      <w:pPr>
        <w:keepNext/>
        <w:spacing w:line="360" w:lineRule="auto"/>
        <w:jc w:val="center"/>
        <w:rPr>
          <w:b/>
          <w:sz w:val="28"/>
          <w:szCs w:val="28"/>
          <w:lang w:val="bg-BG"/>
        </w:rPr>
      </w:pPr>
    </w:p>
    <w:p w:rsidR="00FD02E7" w:rsidRDefault="00FD02E7" w:rsidP="00E018BB">
      <w:pPr>
        <w:keepNext/>
        <w:spacing w:line="240" w:lineRule="auto"/>
        <w:jc w:val="center"/>
        <w:rPr>
          <w:b/>
          <w:sz w:val="28"/>
          <w:szCs w:val="28"/>
        </w:rPr>
      </w:pPr>
      <w:r w:rsidRPr="00FD02E7">
        <w:rPr>
          <w:b/>
          <w:sz w:val="28"/>
          <w:szCs w:val="28"/>
          <w:lang w:val="bg-BG"/>
        </w:rPr>
        <w:t>Fiscal Stimulus from EU structural funds in Bulgaria in the program period 2007-2013</w:t>
      </w:r>
    </w:p>
    <w:p w:rsidR="00E018BB" w:rsidRPr="00E018BB" w:rsidRDefault="00E018BB" w:rsidP="00E018BB">
      <w:pPr>
        <w:keepNext/>
        <w:spacing w:line="240" w:lineRule="auto"/>
        <w:jc w:val="center"/>
        <w:rPr>
          <w:b/>
          <w:sz w:val="28"/>
          <w:szCs w:val="28"/>
        </w:rPr>
      </w:pPr>
    </w:p>
    <w:p w:rsidR="00FD02E7" w:rsidRPr="00FD02E7" w:rsidRDefault="00FD02E7" w:rsidP="00FD02E7">
      <w:pPr>
        <w:jc w:val="center"/>
      </w:pPr>
      <w:r w:rsidRPr="00FD02E7">
        <w:rPr>
          <w:rFonts w:cs="Arial"/>
          <w:bCs/>
          <w:lang w:val="bg-BG"/>
        </w:rPr>
        <w:t>Iana Paliova</w:t>
      </w:r>
      <w:r w:rsidRPr="00FD02E7">
        <w:rPr>
          <w:lang w:val="bg-BG"/>
        </w:rPr>
        <w:t xml:space="preserve"> PhD </w:t>
      </w:r>
      <w:r w:rsidRPr="00FD02E7">
        <w:t>student,Economic Research Institute of Bulgarian Academy of Science</w:t>
      </w:r>
      <w:r w:rsidRPr="00FD02E7">
        <w:rPr>
          <w:lang w:val="bg-BG"/>
        </w:rPr>
        <w:t xml:space="preserve"> м</w:t>
      </w:r>
      <w:r w:rsidRPr="00FD02E7">
        <w:rPr>
          <w:rFonts w:eastAsia="Times New Roman"/>
          <w:color w:val="000000"/>
        </w:rPr>
        <w:t>acroeconomist</w:t>
      </w:r>
      <w:r w:rsidRPr="00FD02E7">
        <w:rPr>
          <w:rFonts w:eastAsia="Times New Roman"/>
          <w:color w:val="000000"/>
          <w:lang w:val="bg-BG"/>
        </w:rPr>
        <w:t xml:space="preserve">, </w:t>
      </w:r>
      <w:r w:rsidRPr="00FD02E7">
        <w:t>IMF Resident Representative Office in Bulgaria</w:t>
      </w:r>
    </w:p>
    <w:p w:rsidR="00FD02E7" w:rsidRPr="005D5B74" w:rsidRDefault="00FD02E7" w:rsidP="00FD02E7"/>
    <w:p w:rsidR="00FD02E7" w:rsidRPr="00C9225C" w:rsidRDefault="00FD02E7" w:rsidP="00FD02E7">
      <w:pPr>
        <w:jc w:val="center"/>
        <w:rPr>
          <w:b/>
        </w:rPr>
      </w:pPr>
      <w:r w:rsidRPr="00C9225C">
        <w:rPr>
          <w:b/>
        </w:rPr>
        <w:t>Abstract</w:t>
      </w:r>
    </w:p>
    <w:p w:rsidR="00FD02E7" w:rsidRPr="00FD02E7" w:rsidRDefault="00FD02E7" w:rsidP="00FD02E7">
      <w:pPr>
        <w:jc w:val="both"/>
      </w:pPr>
      <w:r w:rsidRPr="00FD02E7">
        <w:t>The grant element of E</w:t>
      </w:r>
      <w:r w:rsidR="004F3606">
        <w:t xml:space="preserve">uropean Union (EU) </w:t>
      </w:r>
      <w:r w:rsidRPr="00FD02E7">
        <w:t>structural funds reduces the financing burden on demand</w:t>
      </w:r>
      <w:r w:rsidRPr="00FD02E7">
        <w:rPr>
          <w:lang w:val="bg-BG"/>
        </w:rPr>
        <w:t xml:space="preserve"> </w:t>
      </w:r>
      <w:r w:rsidRPr="00FD02E7">
        <w:t>compared to a standard fiscal stimulus</w:t>
      </w:r>
      <w:r w:rsidRPr="00FD02E7">
        <w:rPr>
          <w:lang w:val="bg-BG"/>
        </w:rPr>
        <w:t>.</w:t>
      </w:r>
      <w:r w:rsidRPr="00FD02E7">
        <w:t xml:space="preserve"> </w:t>
      </w:r>
      <w:r w:rsidRPr="00FD02E7">
        <w:rPr>
          <w:lang w:val="bg-BG"/>
        </w:rPr>
        <w:t xml:space="preserve">The </w:t>
      </w:r>
      <w:r w:rsidRPr="00FD02E7">
        <w:t>EU structural funds can be considered</w:t>
      </w:r>
      <w:r w:rsidRPr="00FD02E7">
        <w:rPr>
          <w:lang w:val="bg-BG"/>
        </w:rPr>
        <w:t xml:space="preserve">, </w:t>
      </w:r>
      <w:r w:rsidRPr="00FD02E7">
        <w:t xml:space="preserve">however, fiscal stimulus particularly during periods when output is below potential. In the beginning of the program period 2007-2013, the EU transfers in Bulgaria were mainly advances and exceeded actual EU funds’ spending, having no relation to </w:t>
      </w:r>
      <w:proofErr w:type="gramStart"/>
      <w:r w:rsidRPr="00FD02E7">
        <w:t>demand.</w:t>
      </w:r>
      <w:proofErr w:type="gramEnd"/>
      <w:r w:rsidRPr="00FD02E7">
        <w:t xml:space="preserve"> </w:t>
      </w:r>
      <w:r w:rsidRPr="00FD02E7">
        <w:rPr>
          <w:color w:val="222222"/>
        </w:rPr>
        <w:t xml:space="preserve">At the end of </w:t>
      </w:r>
      <w:r w:rsidR="006816B5">
        <w:rPr>
          <w:color w:val="222222"/>
          <w:lang w:val="bg-BG"/>
        </w:rPr>
        <w:t>2015</w:t>
      </w:r>
      <w:r w:rsidR="00926055">
        <w:rPr>
          <w:color w:val="222222"/>
          <w:lang w:val="bg-BG"/>
        </w:rPr>
        <w:t xml:space="preserve">, </w:t>
      </w:r>
      <w:r w:rsidRPr="00FD02E7">
        <w:rPr>
          <w:color w:val="222222"/>
        </w:rPr>
        <w:t>when the EU funds</w:t>
      </w:r>
      <w:r w:rsidR="00BB0B3E">
        <w:rPr>
          <w:color w:val="222222"/>
          <w:lang w:val="bg-BG"/>
        </w:rPr>
        <w:t xml:space="preserve"> </w:t>
      </w:r>
      <w:r w:rsidR="00BB0B3E">
        <w:rPr>
          <w:color w:val="222222"/>
        </w:rPr>
        <w:t xml:space="preserve">for the program period 2007-13 </w:t>
      </w:r>
      <w:r w:rsidRPr="00FD02E7">
        <w:rPr>
          <w:color w:val="222222"/>
          <w:lang w:val="bg-BG"/>
        </w:rPr>
        <w:t>have not been</w:t>
      </w:r>
      <w:r w:rsidRPr="00FD02E7">
        <w:rPr>
          <w:color w:val="222222"/>
        </w:rPr>
        <w:t xml:space="preserve"> yet</w:t>
      </w:r>
      <w:r w:rsidRPr="00FD02E7">
        <w:rPr>
          <w:color w:val="222222"/>
          <w:lang w:val="bg-BG"/>
        </w:rPr>
        <w:t xml:space="preserve"> reimbursed by the EU</w:t>
      </w:r>
      <w:r w:rsidRPr="00FD02E7">
        <w:rPr>
          <w:color w:val="222222"/>
        </w:rPr>
        <w:t>, pre-financing of the EU projects from the national budget turned out a strong fiscal stimulus on the economy.</w:t>
      </w:r>
    </w:p>
    <w:p w:rsidR="00FD02E7" w:rsidRDefault="00FD02E7" w:rsidP="00FD02E7">
      <w:pPr>
        <w:rPr>
          <w:b/>
          <w:lang w:val="bg-BG"/>
        </w:rPr>
      </w:pPr>
    </w:p>
    <w:p w:rsidR="00FD02E7" w:rsidRPr="00FD02E7" w:rsidRDefault="00FD02E7" w:rsidP="00FD02E7">
      <w:pPr>
        <w:pStyle w:val="Keywords"/>
      </w:pPr>
      <w:r w:rsidRPr="00C9225C">
        <w:rPr>
          <w:b/>
        </w:rPr>
        <w:t>Keywords</w:t>
      </w:r>
      <w:r w:rsidRPr="00FD02E7">
        <w:t xml:space="preserve">:  </w:t>
      </w:r>
      <w:bookmarkStart w:id="2" w:name="bkkey"/>
      <w:bookmarkEnd w:id="2"/>
      <w:r w:rsidRPr="00FD02E7">
        <w:t>Bulgaria, Central and Eastern Europe, EU structural funds, and</w:t>
      </w:r>
      <w:r w:rsidRPr="00FD02E7">
        <w:rPr>
          <w:lang w:val="bg-BG"/>
        </w:rPr>
        <w:t xml:space="preserve"> fiscal stimulus</w:t>
      </w:r>
      <w:r w:rsidRPr="00FD02E7">
        <w:t xml:space="preserve">. </w:t>
      </w:r>
    </w:p>
    <w:p w:rsidR="00FD02E7" w:rsidRDefault="00FD02E7" w:rsidP="00371DD6">
      <w:pPr>
        <w:pStyle w:val="Keywords"/>
        <w:spacing w:before="0" w:after="0"/>
        <w:rPr>
          <w:sz w:val="23"/>
          <w:szCs w:val="23"/>
        </w:rPr>
      </w:pPr>
      <w:r w:rsidRPr="00C9225C">
        <w:rPr>
          <w:b/>
          <w:sz w:val="23"/>
          <w:szCs w:val="23"/>
        </w:rPr>
        <w:t>JEL Classification Numbers</w:t>
      </w:r>
      <w:r w:rsidRPr="00FD02E7">
        <w:rPr>
          <w:sz w:val="23"/>
          <w:szCs w:val="23"/>
        </w:rPr>
        <w:t>: O11</w:t>
      </w:r>
    </w:p>
    <w:p w:rsidR="00371DD6" w:rsidRPr="00FD02E7" w:rsidRDefault="00371DD6" w:rsidP="00371DD6">
      <w:pPr>
        <w:pStyle w:val="Keywords"/>
        <w:spacing w:before="0" w:after="0"/>
        <w:rPr>
          <w:lang w:val="bg-BG"/>
        </w:rPr>
      </w:pPr>
    </w:p>
    <w:p w:rsidR="00C34A76" w:rsidRPr="002C674E" w:rsidRDefault="0039428C" w:rsidP="00371DD6">
      <w:pPr>
        <w:spacing w:line="360" w:lineRule="auto"/>
        <w:ind w:firstLine="720"/>
        <w:jc w:val="both"/>
      </w:pPr>
      <w:proofErr w:type="gramStart"/>
      <w:r>
        <w:lastRenderedPageBreak/>
        <w:t xml:space="preserve">Членството в Европейския съюз </w:t>
      </w:r>
      <w:r w:rsidR="00B16596" w:rsidRPr="002C674E">
        <w:t xml:space="preserve">(ЕС) </w:t>
      </w:r>
      <w:r>
        <w:t>е съпроводено с редица фи</w:t>
      </w:r>
      <w:r w:rsidR="00C64CD8" w:rsidRPr="002C674E">
        <w:t xml:space="preserve">нансови </w:t>
      </w:r>
      <w:r>
        <w:t>а</w:t>
      </w:r>
      <w:r w:rsidRPr="002C674E">
        <w:t>с</w:t>
      </w:r>
      <w:r>
        <w:t>пекти</w:t>
      </w:r>
      <w:r w:rsidR="00C34A76" w:rsidRPr="002C674E">
        <w:t>, които засягат</w:t>
      </w:r>
      <w:r w:rsidR="00A16F85" w:rsidRPr="002C674E">
        <w:t xml:space="preserve"> </w:t>
      </w:r>
      <w:r w:rsidR="007A3637" w:rsidRPr="002C674E">
        <w:t xml:space="preserve">националните бюджети на </w:t>
      </w:r>
      <w:r w:rsidR="00217B7C" w:rsidRPr="002C674E">
        <w:t>страните</w:t>
      </w:r>
      <w:r w:rsidR="00A16F85" w:rsidRPr="002C674E">
        <w:t xml:space="preserve"> </w:t>
      </w:r>
      <w:r w:rsidRPr="002C674E">
        <w:t>преди и след присъединяването</w:t>
      </w:r>
      <w:r w:rsidR="00FF4647" w:rsidRPr="002C674E">
        <w:t>,</w:t>
      </w:r>
      <w:r w:rsidR="00F962F8" w:rsidRPr="002C674E">
        <w:t xml:space="preserve"> с</w:t>
      </w:r>
      <w:r w:rsidR="00C35D38" w:rsidRPr="002C674E">
        <w:t xml:space="preserve"> дългосрочни цели за конвергенция с европейските стандарти и </w:t>
      </w:r>
      <w:r w:rsidR="00A16F85" w:rsidRPr="002C674E">
        <w:t xml:space="preserve">устойчив </w:t>
      </w:r>
      <w:r w:rsidR="00C35D38" w:rsidRPr="002C674E">
        <w:t>икономически растеж</w:t>
      </w:r>
      <w:r w:rsidRPr="002C674E">
        <w:t>.</w:t>
      </w:r>
      <w:proofErr w:type="gramEnd"/>
      <w:r w:rsidRPr="002C674E">
        <w:t xml:space="preserve"> </w:t>
      </w:r>
      <w:r w:rsidR="00B25241" w:rsidRPr="002C674E">
        <w:t>За</w:t>
      </w:r>
      <w:r w:rsidRPr="002C674E">
        <w:t xml:space="preserve"> подпом</w:t>
      </w:r>
      <w:r w:rsidR="00217B7C" w:rsidRPr="002C674E">
        <w:t>агане</w:t>
      </w:r>
      <w:r w:rsidR="001139E0" w:rsidRPr="002C674E">
        <w:t xml:space="preserve"> </w:t>
      </w:r>
      <w:r w:rsidRPr="002C674E">
        <w:t xml:space="preserve">процеса </w:t>
      </w:r>
      <w:r w:rsidR="00B25241" w:rsidRPr="002C674E">
        <w:t xml:space="preserve">на </w:t>
      </w:r>
      <w:r w:rsidRPr="002C674E">
        <w:t>реформи за пълноправно членство, Европейската комисия използва като инструменти предприсъединителните фондове ФАР, ИСПА и САПАРД</w:t>
      </w:r>
      <w:r w:rsidR="00BA0504">
        <w:rPr>
          <w:rStyle w:val="FootnoteReference"/>
        </w:rPr>
        <w:footnoteReference w:id="2"/>
      </w:r>
      <w:r w:rsidRPr="002C674E">
        <w:t>, а след присъединяването - европейските структурни фондове</w:t>
      </w:r>
      <w:r w:rsidR="00961424">
        <w:t xml:space="preserve"> </w:t>
      </w:r>
      <w:r w:rsidR="00961424">
        <w:rPr>
          <w:lang w:val="bg-BG"/>
        </w:rPr>
        <w:t>и за общата селскостопанска политика</w:t>
      </w:r>
      <w:r w:rsidR="00C64CD8" w:rsidRPr="002C674E">
        <w:t>,</w:t>
      </w:r>
      <w:r w:rsidRPr="002C674E">
        <w:t xml:space="preserve"> по-специално </w:t>
      </w:r>
      <w:r w:rsidRPr="00B06DFE">
        <w:t>Европейския фонд</w:t>
      </w:r>
      <w:r w:rsidRPr="002C674E">
        <w:t xml:space="preserve"> </w:t>
      </w:r>
      <w:r w:rsidRPr="00B06DFE">
        <w:t>за</w:t>
      </w:r>
      <w:r w:rsidRPr="002C674E">
        <w:t xml:space="preserve"> </w:t>
      </w:r>
      <w:r w:rsidRPr="00B06DFE">
        <w:t>регионално развитие</w:t>
      </w:r>
      <w:r w:rsidRPr="002C674E">
        <w:t xml:space="preserve">, Европейския социален </w:t>
      </w:r>
      <w:r w:rsidRPr="00B06DFE">
        <w:t>фонд</w:t>
      </w:r>
      <w:r w:rsidRPr="002C674E">
        <w:t xml:space="preserve">, </w:t>
      </w:r>
      <w:r w:rsidRPr="00B06DFE">
        <w:t>Европейския фонд за ориентиране</w:t>
      </w:r>
      <w:r w:rsidRPr="002C674E">
        <w:t xml:space="preserve"> </w:t>
      </w:r>
      <w:r w:rsidRPr="00B06DFE">
        <w:t>и гарантиране на земеделието</w:t>
      </w:r>
      <w:r w:rsidRPr="002C674E">
        <w:t xml:space="preserve">, </w:t>
      </w:r>
      <w:r w:rsidRPr="00B06DFE">
        <w:t>а от 1993 г.</w:t>
      </w:r>
      <w:r w:rsidRPr="002C674E">
        <w:t xml:space="preserve"> </w:t>
      </w:r>
      <w:r w:rsidRPr="00B06DFE">
        <w:t>Кохезионния фонд</w:t>
      </w:r>
      <w:r w:rsidRPr="002C674E">
        <w:t xml:space="preserve">. </w:t>
      </w:r>
      <w:proofErr w:type="gramStart"/>
      <w:r w:rsidR="00217B7C" w:rsidRPr="002C674E">
        <w:t>О</w:t>
      </w:r>
      <w:r w:rsidRPr="00B06DFE">
        <w:t>т 1993 г.</w:t>
      </w:r>
      <w:r w:rsidRPr="002C674E">
        <w:t xml:space="preserve"> </w:t>
      </w:r>
      <w:r w:rsidRPr="00B06DFE">
        <w:t>общата политика в областта</w:t>
      </w:r>
      <w:r w:rsidRPr="002C674E">
        <w:t xml:space="preserve"> </w:t>
      </w:r>
      <w:r w:rsidRPr="00B06DFE">
        <w:t>на рибарството</w:t>
      </w:r>
      <w:r w:rsidRPr="002C674E">
        <w:t xml:space="preserve"> </w:t>
      </w:r>
      <w:r w:rsidR="00217B7C" w:rsidRPr="002C674E">
        <w:t xml:space="preserve">също </w:t>
      </w:r>
      <w:r w:rsidRPr="00B06DFE">
        <w:t>е интегрирана</w:t>
      </w:r>
      <w:r w:rsidRPr="002C674E">
        <w:t xml:space="preserve"> </w:t>
      </w:r>
      <w:r w:rsidRPr="00B06DFE">
        <w:t>в</w:t>
      </w:r>
      <w:r w:rsidRPr="002C674E">
        <w:t xml:space="preserve"> </w:t>
      </w:r>
      <w:r w:rsidRPr="00B06DFE">
        <w:t>правилата за управление на</w:t>
      </w:r>
      <w:r w:rsidRPr="002C674E">
        <w:t xml:space="preserve"> </w:t>
      </w:r>
      <w:r w:rsidRPr="00B06DFE">
        <w:t>структурните фондове</w:t>
      </w:r>
      <w:r w:rsidRPr="002C674E">
        <w:t>.</w:t>
      </w:r>
      <w:proofErr w:type="gramEnd"/>
      <w:r w:rsidR="009A68D9" w:rsidRPr="002C674E">
        <w:t xml:space="preserve"> </w:t>
      </w:r>
      <w:r w:rsidR="00C34A76" w:rsidRPr="002C674E">
        <w:t xml:space="preserve">Трансферите от предприсъединителните фондове и европейските структурни фондове, както и средствата по оперативните програми в областта </w:t>
      </w:r>
      <w:r w:rsidR="00BD4269" w:rsidRPr="002C674E">
        <w:t xml:space="preserve">на селското стопанство, са </w:t>
      </w:r>
      <w:r w:rsidR="00BA0705" w:rsidRPr="002C674E">
        <w:t xml:space="preserve">с влияние </w:t>
      </w:r>
      <w:r w:rsidR="00C34A76" w:rsidRPr="002C674E">
        <w:t>върху фискална</w:t>
      </w:r>
      <w:r w:rsidR="001C6CDF" w:rsidRPr="002C674E">
        <w:t>та касова</w:t>
      </w:r>
      <w:r w:rsidR="00C34A76" w:rsidRPr="002C674E">
        <w:t xml:space="preserve"> позиция</w:t>
      </w:r>
      <w:r w:rsidR="00BA0705" w:rsidRPr="002C674E">
        <w:t xml:space="preserve"> и съвкупното търсене</w:t>
      </w:r>
      <w:r w:rsidR="00C34A76" w:rsidRPr="002C674E">
        <w:t xml:space="preserve">, докато преките субсидии за фермерите и пазарните мерки, финансирани от ЕС, са в по-малка степен под контрола на правителството и </w:t>
      </w:r>
      <w:r w:rsidR="00F46B15" w:rsidRPr="002C674E">
        <w:t>имат индиректно</w:t>
      </w:r>
      <w:r w:rsidR="00BA0705" w:rsidRPr="002C674E">
        <w:t xml:space="preserve"> </w:t>
      </w:r>
      <w:r w:rsidR="00C34A76" w:rsidRPr="002C674E">
        <w:t>фискално влияние</w:t>
      </w:r>
      <w:r w:rsidR="00270404" w:rsidRPr="002C674E">
        <w:t xml:space="preserve"> върху икономиката</w:t>
      </w:r>
      <w:r w:rsidR="00C34A76" w:rsidRPr="002C674E">
        <w:t xml:space="preserve">.  </w:t>
      </w:r>
    </w:p>
    <w:p w:rsidR="00647424" w:rsidRPr="000C1396" w:rsidRDefault="003A5821" w:rsidP="00371DD6">
      <w:pPr>
        <w:spacing w:line="360" w:lineRule="auto"/>
        <w:ind w:firstLine="720"/>
        <w:jc w:val="both"/>
      </w:pPr>
      <w:r w:rsidRPr="000C1396">
        <w:t>В</w:t>
      </w:r>
      <w:r w:rsidRPr="001013F4">
        <w:t>ъпросите за фискалните стимули върху съвкупното търсене като резултат от усвояването на европейските фондове провокират непрекъснат интерес, поради различн</w:t>
      </w:r>
      <w:r w:rsidRPr="00F60D87">
        <w:t xml:space="preserve">ото </w:t>
      </w:r>
      <w:r w:rsidRPr="001013F4">
        <w:t>им проявлени</w:t>
      </w:r>
      <w:r w:rsidRPr="00F60D87">
        <w:t>е</w:t>
      </w:r>
      <w:r w:rsidRPr="001013F4">
        <w:t xml:space="preserve"> в периоди</w:t>
      </w:r>
      <w:r w:rsidRPr="00F60D87">
        <w:t>те</w:t>
      </w:r>
      <w:r w:rsidRPr="001013F4">
        <w:t xml:space="preserve"> на бизнес цикъл</w:t>
      </w:r>
      <w:r w:rsidR="00F46B15" w:rsidRPr="000C1396">
        <w:t xml:space="preserve"> и защото ф</w:t>
      </w:r>
      <w:r w:rsidR="0041615C" w:rsidRPr="001013F4">
        <w:t xml:space="preserve">искалните </w:t>
      </w:r>
      <w:r w:rsidR="0041615C" w:rsidRPr="00F60D87">
        <w:t xml:space="preserve">ефекти </w:t>
      </w:r>
      <w:r w:rsidR="0041615C" w:rsidRPr="001013F4">
        <w:t xml:space="preserve">от европейските структурни фондове се проявяват основно чрез бюджетните решения и динамиката на фискална позиция и параметри по отношение на икономическата активност </w:t>
      </w:r>
      <w:r w:rsidR="0041615C" w:rsidRPr="000C1396">
        <w:t>и осигуряване</w:t>
      </w:r>
      <w:r w:rsidR="00F67904" w:rsidRPr="000C1396">
        <w:t>то</w:t>
      </w:r>
      <w:r w:rsidR="0041615C" w:rsidRPr="000C1396">
        <w:t xml:space="preserve"> на макроикономическа стабилност</w:t>
      </w:r>
      <w:r w:rsidR="00647424" w:rsidRPr="001013F4">
        <w:t xml:space="preserve">. </w:t>
      </w:r>
    </w:p>
    <w:p w:rsidR="006C3B31" w:rsidRDefault="006C3B31" w:rsidP="000A7466">
      <w:pPr>
        <w:spacing w:line="360" w:lineRule="auto"/>
        <w:ind w:left="-144" w:right="-144" w:firstLine="720"/>
        <w:jc w:val="center"/>
        <w:rPr>
          <w:b/>
        </w:rPr>
      </w:pPr>
    </w:p>
    <w:p w:rsidR="006C3B31" w:rsidRDefault="0084163D" w:rsidP="006C3B31">
      <w:pPr>
        <w:spacing w:line="360" w:lineRule="auto"/>
        <w:ind w:left="-144" w:right="-144" w:firstLine="720"/>
        <w:jc w:val="center"/>
        <w:rPr>
          <w:b/>
        </w:rPr>
      </w:pPr>
      <w:r>
        <w:rPr>
          <w:b/>
          <w:lang w:val="bg-BG"/>
        </w:rPr>
        <w:t xml:space="preserve">Мултипликационни </w:t>
      </w:r>
      <w:r w:rsidR="00270404" w:rsidRPr="00270404">
        <w:rPr>
          <w:b/>
          <w:lang w:val="bg-BG"/>
        </w:rPr>
        <w:t xml:space="preserve">ефекти </w:t>
      </w:r>
      <w:r w:rsidR="00270404">
        <w:rPr>
          <w:b/>
          <w:lang w:val="bg-BG"/>
        </w:rPr>
        <w:t>от</w:t>
      </w:r>
      <w:r w:rsidR="00270404" w:rsidRPr="00270404">
        <w:rPr>
          <w:b/>
          <w:lang w:val="bg-BG"/>
        </w:rPr>
        <w:t xml:space="preserve"> европейските структурни фондове</w:t>
      </w:r>
    </w:p>
    <w:p w:rsidR="006C3B31" w:rsidRDefault="006C3B31" w:rsidP="006C3B31">
      <w:pPr>
        <w:spacing w:line="360" w:lineRule="auto"/>
        <w:ind w:firstLine="720"/>
        <w:jc w:val="both"/>
      </w:pPr>
    </w:p>
    <w:p w:rsidR="006C35D3" w:rsidRPr="000C1396" w:rsidRDefault="009E60C9" w:rsidP="006C3B31">
      <w:pPr>
        <w:spacing w:line="360" w:lineRule="auto"/>
        <w:ind w:firstLine="720"/>
        <w:jc w:val="both"/>
      </w:pPr>
      <w:r w:rsidRPr="000C1396">
        <w:t>В икономическата литература е</w:t>
      </w:r>
      <w:r w:rsidR="006C35D3" w:rsidRPr="001013F4">
        <w:t xml:space="preserve">фектите на </w:t>
      </w:r>
      <w:r w:rsidR="002158E6" w:rsidRPr="001013F4">
        <w:t xml:space="preserve">европейските структурни фондове </w:t>
      </w:r>
      <w:r w:rsidR="006C35D3" w:rsidRPr="001013F4">
        <w:t>върху икономическия растеж на страните-получатели на средствата са сравнявани с тези на</w:t>
      </w:r>
      <w:r w:rsidR="006C35D3" w:rsidRPr="00802A49">
        <w:t xml:space="preserve"> плана Маршал на САЩ след Втората световна война, </w:t>
      </w:r>
      <w:r w:rsidR="006C35D3" w:rsidRPr="001013F4">
        <w:t>при който п</w:t>
      </w:r>
      <w:r w:rsidR="006C35D3" w:rsidRPr="00802A49">
        <w:t xml:space="preserve">ринципът на </w:t>
      </w:r>
      <w:r w:rsidR="006C35D3" w:rsidRPr="00802A49">
        <w:lastRenderedPageBreak/>
        <w:t>съфинансиране, размер</w:t>
      </w:r>
      <w:r w:rsidR="006C35D3" w:rsidRPr="001013F4">
        <w:t>ите</w:t>
      </w:r>
      <w:r w:rsidR="006C35D3" w:rsidRPr="00802A49">
        <w:t xml:space="preserve"> и управлението са доста подобни и </w:t>
      </w:r>
      <w:r w:rsidR="006C35D3" w:rsidRPr="001013F4">
        <w:t xml:space="preserve">е </w:t>
      </w:r>
      <w:r w:rsidR="006C35D3" w:rsidRPr="00802A49">
        <w:t>постигн</w:t>
      </w:r>
      <w:r w:rsidR="006C35D3" w:rsidRPr="001013F4">
        <w:t xml:space="preserve">ато 2.5% </w:t>
      </w:r>
      <w:r w:rsidR="006C35D3" w:rsidRPr="00802A49">
        <w:t xml:space="preserve">положително въздействие върху </w:t>
      </w:r>
      <w:r w:rsidR="006C35D3" w:rsidRPr="001013F4">
        <w:t>БВП на страните</w:t>
      </w:r>
      <w:r w:rsidR="006C35D3" w:rsidRPr="00716EC5">
        <w:t xml:space="preserve"> </w:t>
      </w:r>
      <w:r w:rsidR="006C35D3" w:rsidRPr="001013F4">
        <w:t>(</w:t>
      </w:r>
      <w:r w:rsidR="006C35D3" w:rsidRPr="00802A49">
        <w:t>De Long и Eichengreen</w:t>
      </w:r>
      <w:r w:rsidR="006C35D3" w:rsidRPr="001013F4">
        <w:t xml:space="preserve">, </w:t>
      </w:r>
      <w:r w:rsidR="006C35D3" w:rsidRPr="00802A49">
        <w:t>1991).</w:t>
      </w:r>
      <w:r w:rsidR="006C35D3">
        <w:t xml:space="preserve"> </w:t>
      </w:r>
      <w:proofErr w:type="gramStart"/>
      <w:r w:rsidR="006C35D3" w:rsidRPr="001013F4">
        <w:t>Оценките за усвояването на европейските структурни фондове като източник на икономическия растеж са за</w:t>
      </w:r>
      <w:r w:rsidR="006C35D3" w:rsidRPr="00824659">
        <w:t xml:space="preserve"> положителни ефекти върху </w:t>
      </w:r>
      <w:r w:rsidR="002158E6" w:rsidRPr="001013F4">
        <w:t>търсенето и предлагането</w:t>
      </w:r>
      <w:r w:rsidR="00416EB2" w:rsidRPr="000C1396">
        <w:t>,</w:t>
      </w:r>
      <w:r w:rsidR="002158E6" w:rsidRPr="001013F4">
        <w:t xml:space="preserve"> </w:t>
      </w:r>
      <w:r w:rsidR="002158E6" w:rsidRPr="00824659">
        <w:t>в резултат на типично кейнсианските ефекти от увеличените публични разходи</w:t>
      </w:r>
      <w:r w:rsidR="002158E6" w:rsidRPr="001013F4">
        <w:t xml:space="preserve"> върху </w:t>
      </w:r>
      <w:r w:rsidR="006C35D3" w:rsidRPr="00824659">
        <w:t xml:space="preserve">производството и заетостта, както </w:t>
      </w:r>
      <w:r w:rsidR="00E92D7F" w:rsidRPr="00824659">
        <w:t>в краткосрочен</w:t>
      </w:r>
      <w:r w:rsidR="006C35D3" w:rsidRPr="00824659">
        <w:t xml:space="preserve">, така и </w:t>
      </w:r>
      <w:r w:rsidR="00E92D7F" w:rsidRPr="00824659">
        <w:t xml:space="preserve">в дългосрочен план </w:t>
      </w:r>
      <w:r w:rsidR="006C35D3" w:rsidRPr="00824659">
        <w:t xml:space="preserve">(Bradley </w:t>
      </w:r>
      <w:r w:rsidR="006C35D3" w:rsidRPr="001013F4">
        <w:t xml:space="preserve">и </w:t>
      </w:r>
      <w:r w:rsidR="006C35D3" w:rsidRPr="00824659">
        <w:t>Fitzgerald</w:t>
      </w:r>
      <w:r w:rsidR="006C35D3">
        <w:t xml:space="preserve"> (</w:t>
      </w:r>
      <w:r w:rsidR="006C35D3" w:rsidRPr="00824659">
        <w:t>1988</w:t>
      </w:r>
      <w:r w:rsidR="006C35D3">
        <w:t>)</w:t>
      </w:r>
      <w:r w:rsidR="006C35D3" w:rsidRPr="00824659">
        <w:t>, Bradley, Herce и Modesto</w:t>
      </w:r>
      <w:r w:rsidR="006C35D3">
        <w:t xml:space="preserve"> (</w:t>
      </w:r>
      <w:r w:rsidR="0041615C">
        <w:t>1995)</w:t>
      </w:r>
      <w:r w:rsidR="00647424" w:rsidRPr="000C1396">
        <w:t>.</w:t>
      </w:r>
      <w:proofErr w:type="gramEnd"/>
      <w:r w:rsidR="006C35D3" w:rsidRPr="00824659">
        <w:t xml:space="preserve"> </w:t>
      </w:r>
    </w:p>
    <w:p w:rsidR="006C35D3" w:rsidRPr="001013F4" w:rsidRDefault="006C35D3" w:rsidP="00DD6051">
      <w:pPr>
        <w:spacing w:line="360" w:lineRule="auto"/>
        <w:ind w:firstLine="720"/>
        <w:jc w:val="both"/>
      </w:pPr>
      <w:r w:rsidRPr="001013F4">
        <w:t>У</w:t>
      </w:r>
      <w:r w:rsidRPr="006F30EF">
        <w:t xml:space="preserve">величаването на публичните инвестиции </w:t>
      </w:r>
      <w:r w:rsidRPr="001013F4">
        <w:t>първоначално</w:t>
      </w:r>
      <w:r w:rsidRPr="006F30EF">
        <w:t xml:space="preserve"> създава сравнително силен мултипликационен ефект върху търсенето, което се проявява в няколко направления чрез  финансирането на публични инвестиции, включително инвестиции на държавни предприятия, чрез финансиране на развитието на човешките ресурси и професионалните им способности и чрез набор от финансиране на мерки на компаниите за преструктуриране и подобряване на тяхната конкурентоспособност</w:t>
      </w:r>
      <w:r w:rsidRPr="00B66D83">
        <w:t xml:space="preserve"> </w:t>
      </w:r>
      <w:r w:rsidRPr="001013F4">
        <w:t>(</w:t>
      </w:r>
      <w:r w:rsidRPr="006F30EF">
        <w:t>Lolos</w:t>
      </w:r>
      <w:r w:rsidRPr="001013F4">
        <w:t xml:space="preserve">, </w:t>
      </w:r>
      <w:r w:rsidRPr="006F30EF">
        <w:t>2001).</w:t>
      </w:r>
    </w:p>
    <w:p w:rsidR="00D5037E" w:rsidRPr="001013F4" w:rsidRDefault="0041615C" w:rsidP="00371DD6">
      <w:pPr>
        <w:spacing w:line="360" w:lineRule="auto"/>
        <w:ind w:firstLine="720"/>
        <w:jc w:val="both"/>
      </w:pPr>
      <w:r w:rsidRPr="000C1396">
        <w:t>С</w:t>
      </w:r>
      <w:r w:rsidR="006C35D3" w:rsidRPr="001013F4">
        <w:t xml:space="preserve">ъщо така </w:t>
      </w:r>
      <w:r w:rsidR="00054819" w:rsidRPr="001013F4">
        <w:t>има разпространени хипотези за очаквано негативно въздействие на европейските структурни фондове върху бюджетния дефицит</w:t>
      </w:r>
      <w:r w:rsidR="00645106" w:rsidRPr="001013F4">
        <w:t xml:space="preserve"> и макроикономическата стабилност</w:t>
      </w:r>
      <w:r w:rsidR="00054819" w:rsidRPr="001013F4">
        <w:t xml:space="preserve"> </w:t>
      </w:r>
      <w:r w:rsidR="00ED1F1A" w:rsidRPr="001013F4">
        <w:t>на</w:t>
      </w:r>
      <w:r w:rsidR="00054819" w:rsidRPr="001013F4">
        <w:t xml:space="preserve"> страните след присъединяването им към </w:t>
      </w:r>
      <w:r w:rsidR="00ED1F1A" w:rsidRPr="001013F4">
        <w:t>ЕС</w:t>
      </w:r>
      <w:r w:rsidR="00054819" w:rsidRPr="001013F4">
        <w:t>, поради значителни</w:t>
      </w:r>
      <w:r w:rsidR="0013229D" w:rsidRPr="001013F4">
        <w:t>те</w:t>
      </w:r>
      <w:r w:rsidR="00054819" w:rsidRPr="001013F4">
        <w:t xml:space="preserve"> допълнителни фискални стимули в икономиката. Изчисляването</w:t>
      </w:r>
      <w:r w:rsidR="00D75C3E" w:rsidRPr="001013F4">
        <w:t xml:space="preserve"> </w:t>
      </w:r>
      <w:r w:rsidR="00B942B4" w:rsidRPr="001013F4">
        <w:t>им</w:t>
      </w:r>
      <w:r w:rsidR="00D75C3E" w:rsidRPr="001013F4">
        <w:t xml:space="preserve"> се базира на нетния ефект от получените </w:t>
      </w:r>
      <w:r w:rsidR="00054819" w:rsidRPr="001013F4">
        <w:t>трансфери от европейските структурни  фондове (аванси и последващите плащания</w:t>
      </w:r>
      <w:r w:rsidR="00416EB2" w:rsidRPr="000C1396">
        <w:t xml:space="preserve"> от ЕС</w:t>
      </w:r>
      <w:r w:rsidR="00054819" w:rsidRPr="001013F4">
        <w:t>)</w:t>
      </w:r>
      <w:r w:rsidR="00D75C3E" w:rsidRPr="001013F4">
        <w:t xml:space="preserve"> </w:t>
      </w:r>
      <w:r w:rsidR="00B942B4" w:rsidRPr="001013F4">
        <w:t>и плащането от страна на националния бюджет на</w:t>
      </w:r>
      <w:r w:rsidR="00D75C3E" w:rsidRPr="001013F4">
        <w:t xml:space="preserve"> вноската </w:t>
      </w:r>
      <w:r w:rsidR="00B942B4" w:rsidRPr="001013F4">
        <w:t xml:space="preserve">на страната </w:t>
      </w:r>
      <w:r w:rsidR="00D75C3E" w:rsidRPr="001013F4">
        <w:t xml:space="preserve">в бюджета на ЕС, </w:t>
      </w:r>
      <w:r w:rsidR="00B942B4" w:rsidRPr="001013F4">
        <w:t>разходването на</w:t>
      </w:r>
      <w:r w:rsidR="00D75C3E" w:rsidRPr="001013F4">
        <w:t xml:space="preserve"> </w:t>
      </w:r>
      <w:r w:rsidR="00054819" w:rsidRPr="001013F4">
        <w:t>средства за допълняемост и национално съфинансиране</w:t>
      </w:r>
      <w:r w:rsidR="00D75C3E" w:rsidRPr="001013F4">
        <w:t>, като обикновено новите страни-членки</w:t>
      </w:r>
      <w:r w:rsidR="0008480E" w:rsidRPr="000C1396">
        <w:t xml:space="preserve"> от Централна и Източна Европа (ЦИЕ) </w:t>
      </w:r>
      <w:r w:rsidR="00D75C3E" w:rsidRPr="001013F4">
        <w:t xml:space="preserve"> са нетни получатели на европейски ср</w:t>
      </w:r>
      <w:r w:rsidR="00B942B4" w:rsidRPr="001013F4">
        <w:t>е</w:t>
      </w:r>
      <w:r w:rsidR="00D75C3E" w:rsidRPr="001013F4">
        <w:t>дства</w:t>
      </w:r>
      <w:r w:rsidR="00054819" w:rsidRPr="001013F4">
        <w:t>.</w:t>
      </w:r>
      <w:r w:rsidR="00AD5D61" w:rsidRPr="001013F4">
        <w:t xml:space="preserve"> </w:t>
      </w:r>
      <w:r w:rsidR="00ED1F1A" w:rsidRPr="001013F4">
        <w:t>От една страна г</w:t>
      </w:r>
      <w:r w:rsidR="00ED1F1A" w:rsidRPr="007712DA">
        <w:t xml:space="preserve">рантовият елемент на европейските структурни фондове намалява финансовата граница в сравнение със стандартния фискален стимул. </w:t>
      </w:r>
      <w:proofErr w:type="gramStart"/>
      <w:r w:rsidR="00AD7301" w:rsidRPr="001013F4">
        <w:t>От друга страна обаче е</w:t>
      </w:r>
      <w:r w:rsidR="00ED1F1A" w:rsidRPr="001013F4">
        <w:t>вропейските с</w:t>
      </w:r>
      <w:r w:rsidR="00ED1F1A" w:rsidRPr="007712DA">
        <w:t>труктурни ф</w:t>
      </w:r>
      <w:r w:rsidR="00ED1F1A" w:rsidRPr="001013F4">
        <w:t xml:space="preserve">ондове могат да </w:t>
      </w:r>
      <w:r w:rsidR="00ED1F1A" w:rsidRPr="007712DA">
        <w:t xml:space="preserve">се </w:t>
      </w:r>
      <w:r w:rsidR="00E92D7F" w:rsidRPr="00F60D87">
        <w:t>окажат</w:t>
      </w:r>
      <w:r w:rsidR="00ED1F1A" w:rsidRPr="001013F4">
        <w:t xml:space="preserve"> </w:t>
      </w:r>
      <w:r w:rsidR="00A523CA" w:rsidRPr="001013F4">
        <w:t xml:space="preserve">ефективен </w:t>
      </w:r>
      <w:r w:rsidR="00ED1F1A" w:rsidRPr="007712DA">
        <w:t>ф</w:t>
      </w:r>
      <w:r w:rsidR="00ED1F1A" w:rsidRPr="001013F4">
        <w:t xml:space="preserve">искален стимул </w:t>
      </w:r>
      <w:r w:rsidR="00D5037E" w:rsidRPr="001013F4">
        <w:t>върху съвкупното търсене</w:t>
      </w:r>
      <w:r w:rsidR="006B5B9F" w:rsidRPr="000C1396">
        <w:t>,</w:t>
      </w:r>
      <w:r w:rsidR="00D5037E" w:rsidRPr="001013F4">
        <w:t xml:space="preserve"> </w:t>
      </w:r>
      <w:r w:rsidR="00ED1F1A" w:rsidRPr="001013F4">
        <w:t>особено в периоди, когато икономиката се намира в период на бизнес цикъла под потенциалния си растеж</w:t>
      </w:r>
      <w:r w:rsidR="00A523CA" w:rsidRPr="001013F4">
        <w:t xml:space="preserve"> и публичните средства за инвестиции са значително ограничени.</w:t>
      </w:r>
      <w:proofErr w:type="gramEnd"/>
      <w:r w:rsidR="00C049A5" w:rsidRPr="001013F4">
        <w:t xml:space="preserve"> </w:t>
      </w:r>
    </w:p>
    <w:p w:rsidR="002158E6" w:rsidRDefault="002158E6" w:rsidP="00371DD6">
      <w:pPr>
        <w:spacing w:line="360" w:lineRule="auto"/>
        <w:ind w:firstLine="720"/>
        <w:jc w:val="both"/>
      </w:pPr>
      <w:r w:rsidRPr="006F30EF">
        <w:t xml:space="preserve">В допълнение към краткосрочните ефекти върху търсенето се проявяват и дългосрочни ефекти върху предлагането, резултиращо върху икономическия растеж и инвестициите. Те се създават по времето на подобряването на производителността на икономиката, но се разкриват на по-късен етап, след приключването на програмите по </w:t>
      </w:r>
      <w:r w:rsidRPr="006F30EF">
        <w:lastRenderedPageBreak/>
        <w:t xml:space="preserve">усвояването на </w:t>
      </w:r>
      <w:r w:rsidRPr="001013F4">
        <w:t>европейските структурни фондове</w:t>
      </w:r>
      <w:r w:rsidRPr="006F30EF">
        <w:t xml:space="preserve">. </w:t>
      </w:r>
      <w:proofErr w:type="gramStart"/>
      <w:r w:rsidRPr="006F30EF">
        <w:t xml:space="preserve">Ефектите имат дългосрочен </w:t>
      </w:r>
      <w:r w:rsidR="00AA350E" w:rsidRPr="00F60D87">
        <w:t>аспект</w:t>
      </w:r>
      <w:r w:rsidRPr="006F30EF">
        <w:t xml:space="preserve"> и тяхното влияние се провокира от подобряването на производителността на редица сектори чрез инвестиции във физически</w:t>
      </w:r>
      <w:r w:rsidRPr="001013F4">
        <w:t>я</w:t>
      </w:r>
      <w:r w:rsidRPr="006F30EF">
        <w:t xml:space="preserve"> и човешки</w:t>
      </w:r>
      <w:r w:rsidRPr="001013F4">
        <w:t>я</w:t>
      </w:r>
      <w:r w:rsidRPr="006F30EF">
        <w:t xml:space="preserve"> капитал.</w:t>
      </w:r>
      <w:proofErr w:type="gramEnd"/>
      <w:r w:rsidRPr="006F30EF">
        <w:t xml:space="preserve"> </w:t>
      </w:r>
      <w:proofErr w:type="gramStart"/>
      <w:r w:rsidRPr="001013F4">
        <w:t>От друга страна</w:t>
      </w:r>
      <w:r w:rsidR="00280673" w:rsidRPr="00F60D87">
        <w:t>,</w:t>
      </w:r>
      <w:r w:rsidRPr="001013F4">
        <w:t xml:space="preserve"> п</w:t>
      </w:r>
      <w:r w:rsidRPr="00824659">
        <w:t xml:space="preserve">ри усвояването на </w:t>
      </w:r>
      <w:r w:rsidR="00BA7F83" w:rsidRPr="001013F4">
        <w:t>европейските структурни фондове</w:t>
      </w:r>
      <w:r w:rsidRPr="00824659">
        <w:t xml:space="preserve"> </w:t>
      </w:r>
      <w:r w:rsidRPr="001013F4">
        <w:t xml:space="preserve">при икономически подем </w:t>
      </w:r>
      <w:r w:rsidRPr="00824659">
        <w:t>увеличеното търсене може да доведе до икономическа активност, надвишаваща потенциалния икономически растеж и така до прегряване на икономиката</w:t>
      </w:r>
      <w:r>
        <w:t xml:space="preserve"> в новите страни-членки на ЕС.</w:t>
      </w:r>
      <w:proofErr w:type="gramEnd"/>
      <w:r>
        <w:t xml:space="preserve"> </w:t>
      </w:r>
    </w:p>
    <w:p w:rsidR="00A523CA" w:rsidRPr="000C1396" w:rsidRDefault="00C049A5" w:rsidP="000C1396">
      <w:pPr>
        <w:spacing w:line="360" w:lineRule="auto"/>
        <w:ind w:left="-144" w:right="-144" w:firstLine="720"/>
        <w:jc w:val="both"/>
      </w:pPr>
      <w:r w:rsidRPr="001013F4">
        <w:t xml:space="preserve">Фискалните </w:t>
      </w:r>
      <w:r w:rsidR="003262F0" w:rsidRPr="001013F4">
        <w:t>ефекти</w:t>
      </w:r>
      <w:r w:rsidR="0013229D" w:rsidRPr="001013F4">
        <w:t xml:space="preserve"> </w:t>
      </w:r>
      <w:r w:rsidR="006C35D3" w:rsidRPr="001013F4">
        <w:t xml:space="preserve">за икономиката </w:t>
      </w:r>
      <w:r w:rsidRPr="001013F4">
        <w:t>също така се измерват и с други важни</w:t>
      </w:r>
      <w:r w:rsidR="00AD5D61" w:rsidRPr="001013F4">
        <w:t xml:space="preserve"> разходни</w:t>
      </w:r>
      <w:r w:rsidRPr="001013F4">
        <w:t xml:space="preserve"> аспект</w:t>
      </w:r>
      <w:r w:rsidR="001A5C0F" w:rsidRPr="001013F4">
        <w:t>и</w:t>
      </w:r>
      <w:r w:rsidR="005F0D8E" w:rsidRPr="001013F4">
        <w:t>,</w:t>
      </w:r>
      <w:r w:rsidR="001A5C0F" w:rsidRPr="001013F4">
        <w:t xml:space="preserve"> </w:t>
      </w:r>
      <w:r w:rsidR="003262F0" w:rsidRPr="001013F4">
        <w:t xml:space="preserve">които в дългосрочен план водят до устойчив икономически растеж в целия ЕС, </w:t>
      </w:r>
      <w:r w:rsidRPr="001013F4">
        <w:t>като</w:t>
      </w:r>
      <w:r w:rsidR="00AD5D61" w:rsidRPr="001013F4">
        <w:t xml:space="preserve"> </w:t>
      </w:r>
      <w:r w:rsidRPr="001013F4">
        <w:t>хармонизиране на националните политики за околна среда и социални политики, както и техническите стандарти с европейското acquis communautaire</w:t>
      </w:r>
      <w:r>
        <w:t xml:space="preserve">; </w:t>
      </w:r>
      <w:r w:rsidRPr="001013F4">
        <w:t xml:space="preserve">създаване на административен капацитет за прилагане на европейските политики и ефективно участие във вземане на решенията ниво ЕС.  </w:t>
      </w:r>
    </w:p>
    <w:p w:rsidR="00010C92" w:rsidRDefault="007B0F3F" w:rsidP="000C1396">
      <w:pPr>
        <w:spacing w:line="360" w:lineRule="auto"/>
        <w:ind w:left="-144" w:right="-144" w:firstLine="720"/>
        <w:jc w:val="both"/>
      </w:pPr>
      <w:r w:rsidRPr="000C1396">
        <w:t>З</w:t>
      </w:r>
      <w:r w:rsidRPr="001013F4">
        <w:t>а</w:t>
      </w:r>
      <w:r w:rsidRPr="003E089C">
        <w:t xml:space="preserve"> </w:t>
      </w:r>
      <w:r w:rsidRPr="001013F4">
        <w:t xml:space="preserve">програмния период </w:t>
      </w:r>
      <w:r w:rsidRPr="003E089C">
        <w:t>2007-</w:t>
      </w:r>
      <w:r w:rsidRPr="001013F4">
        <w:t>20</w:t>
      </w:r>
      <w:r w:rsidRPr="003E089C">
        <w:t>1</w:t>
      </w:r>
      <w:r w:rsidRPr="001013F4">
        <w:t>3</w:t>
      </w:r>
      <w:r w:rsidRPr="000C1396">
        <w:t xml:space="preserve"> </w:t>
      </w:r>
      <w:r w:rsidRPr="001013F4">
        <w:t>г.</w:t>
      </w:r>
      <w:r w:rsidRPr="000C1396">
        <w:t xml:space="preserve"> </w:t>
      </w:r>
      <w:r w:rsidR="00CB39AB" w:rsidRPr="001013F4">
        <w:t xml:space="preserve">единадесетте </w:t>
      </w:r>
      <w:r w:rsidR="00373C7E" w:rsidRPr="001013F4">
        <w:t xml:space="preserve"> </w:t>
      </w:r>
      <w:r w:rsidR="00373C7E" w:rsidRPr="003E089C">
        <w:t xml:space="preserve">страни от </w:t>
      </w:r>
      <w:r w:rsidR="00F22665" w:rsidRPr="000C1396">
        <w:t xml:space="preserve">ЦИЕ </w:t>
      </w:r>
      <w:r w:rsidR="00373C7E" w:rsidRPr="003E089C">
        <w:t>договор</w:t>
      </w:r>
      <w:r w:rsidR="00373C7E" w:rsidRPr="001013F4">
        <w:t>иха</w:t>
      </w:r>
      <w:r w:rsidR="00CB39AB" w:rsidRPr="001013F4">
        <w:t xml:space="preserve"> 112% от </w:t>
      </w:r>
      <w:r w:rsidR="00CB39AB" w:rsidRPr="00B06DFE">
        <w:t>Европейския</w:t>
      </w:r>
      <w:r w:rsidR="00CB39AB" w:rsidRPr="001013F4">
        <w:t>т</w:t>
      </w:r>
      <w:r w:rsidR="00CB39AB" w:rsidRPr="00B06DFE">
        <w:t xml:space="preserve"> фонд</w:t>
      </w:r>
      <w:r w:rsidR="00CB39AB" w:rsidRPr="001013F4">
        <w:t xml:space="preserve"> </w:t>
      </w:r>
      <w:r w:rsidR="00CB39AB" w:rsidRPr="00B06DFE">
        <w:t>за</w:t>
      </w:r>
      <w:r w:rsidR="00CB39AB" w:rsidRPr="001013F4">
        <w:t xml:space="preserve"> </w:t>
      </w:r>
      <w:r w:rsidR="00CB39AB" w:rsidRPr="00B06DFE">
        <w:t>регионално развитие</w:t>
      </w:r>
      <w:r w:rsidR="00CB39AB" w:rsidRPr="001013F4">
        <w:t xml:space="preserve">, </w:t>
      </w:r>
      <w:r w:rsidR="00E93BC6" w:rsidRPr="001013F4">
        <w:t xml:space="preserve">108% от </w:t>
      </w:r>
      <w:r w:rsidR="00E93BC6" w:rsidRPr="00B06DFE">
        <w:t>Кохезионния фон</w:t>
      </w:r>
      <w:r w:rsidR="00E93BC6" w:rsidRPr="001013F4">
        <w:t xml:space="preserve">д </w:t>
      </w:r>
      <w:r w:rsidR="00E93BC6" w:rsidRPr="000C1396">
        <w:t xml:space="preserve">и </w:t>
      </w:r>
      <w:r w:rsidR="00CB39AB" w:rsidRPr="001013F4">
        <w:t xml:space="preserve">108% от Европейският социален </w:t>
      </w:r>
      <w:r w:rsidR="00CB39AB" w:rsidRPr="00B06DFE">
        <w:t>фонд</w:t>
      </w:r>
      <w:r w:rsidR="00CB39AB" w:rsidRPr="001013F4">
        <w:t xml:space="preserve">, докато </w:t>
      </w:r>
      <w:r w:rsidR="00BA242A" w:rsidRPr="000C1396">
        <w:t xml:space="preserve">плащанията </w:t>
      </w:r>
      <w:r w:rsidR="00BC106B" w:rsidRPr="000C1396">
        <w:t>бяха</w:t>
      </w:r>
      <w:r w:rsidR="00CB39AB" w:rsidRPr="001013F4">
        <w:t xml:space="preserve"> съответно 92%, 91% и 96% </w:t>
      </w:r>
      <w:r w:rsidR="00373C7E" w:rsidRPr="003E089C">
        <w:t>(KPMG, 201</w:t>
      </w:r>
      <w:r w:rsidR="00EE52EE" w:rsidRPr="001013F4">
        <w:t>6</w:t>
      </w:r>
      <w:r w:rsidR="00373C7E" w:rsidRPr="003E089C">
        <w:t>).</w:t>
      </w:r>
      <w:r w:rsidR="00E51AFF" w:rsidRPr="000C1396">
        <w:t xml:space="preserve"> П</w:t>
      </w:r>
      <w:r w:rsidR="00BC6B1B" w:rsidRPr="001013F4">
        <w:t xml:space="preserve">овечето страни успяха </w:t>
      </w:r>
      <w:r w:rsidR="005E3613" w:rsidRPr="001013F4">
        <w:t xml:space="preserve">да </w:t>
      </w:r>
      <w:r w:rsidR="003262F0" w:rsidRPr="001013F4">
        <w:t xml:space="preserve">постигнат максимално </w:t>
      </w:r>
      <w:r w:rsidR="00BA242A" w:rsidRPr="000C1396">
        <w:t>усвояване</w:t>
      </w:r>
      <w:r w:rsidR="003262F0" w:rsidRPr="001013F4">
        <w:t xml:space="preserve"> на </w:t>
      </w:r>
      <w:r w:rsidR="00407FC8" w:rsidRPr="000C1396">
        <w:t>определения за тях бюджет</w:t>
      </w:r>
      <w:r w:rsidR="00E51AFF" w:rsidRPr="00E51AFF">
        <w:t xml:space="preserve"> </w:t>
      </w:r>
      <w:r w:rsidR="00407FC8" w:rsidRPr="000C1396">
        <w:t xml:space="preserve">европейско финансиране </w:t>
      </w:r>
      <w:r w:rsidR="00E51AFF" w:rsidRPr="001013F4">
        <w:t xml:space="preserve">до края на 2015 г. </w:t>
      </w:r>
      <w:r w:rsidR="00F05636" w:rsidRPr="000C1396">
        <w:t>в съотвествие с</w:t>
      </w:r>
      <w:r w:rsidR="00E51AFF" w:rsidRPr="001013F4">
        <w:t xml:space="preserve"> правилото </w:t>
      </w:r>
      <w:r w:rsidR="00E51AFF">
        <w:t>n+</w:t>
      </w:r>
      <w:r w:rsidR="00E51AFF" w:rsidRPr="000C1396">
        <w:t>2</w:t>
      </w:r>
      <w:r w:rsidR="00E51AFF" w:rsidRPr="00F60D87">
        <w:t xml:space="preserve"> години</w:t>
      </w:r>
      <w:r w:rsidR="0070601D" w:rsidRPr="000C1396">
        <w:t xml:space="preserve">. </w:t>
      </w:r>
      <w:r w:rsidR="00EA344F" w:rsidRPr="000C1396">
        <w:t>Отличници</w:t>
      </w:r>
      <w:r w:rsidR="0070601D" w:rsidRPr="000C1396">
        <w:t xml:space="preserve"> с</w:t>
      </w:r>
      <w:r w:rsidR="00CF2125" w:rsidRPr="000C1396">
        <w:t>е оказаха</w:t>
      </w:r>
      <w:r w:rsidR="0070601D" w:rsidRPr="000C1396">
        <w:t xml:space="preserve"> </w:t>
      </w:r>
      <w:r w:rsidR="00F05636" w:rsidRPr="00BF552D">
        <w:t>Унгария и Словения</w:t>
      </w:r>
      <w:r w:rsidR="00CF2125" w:rsidRPr="000C1396">
        <w:t xml:space="preserve"> (</w:t>
      </w:r>
      <w:r w:rsidR="008264A6" w:rsidRPr="000C1396">
        <w:t xml:space="preserve">с </w:t>
      </w:r>
      <w:r w:rsidR="00916159" w:rsidRPr="000C1396">
        <w:t>над</w:t>
      </w:r>
      <w:r w:rsidR="00CF2125" w:rsidRPr="000C1396">
        <w:t xml:space="preserve"> 1</w:t>
      </w:r>
      <w:r w:rsidR="00916159" w:rsidRPr="000C1396">
        <w:t>00</w:t>
      </w:r>
      <w:r w:rsidR="00CF2125" w:rsidRPr="000C1396">
        <w:t>%)</w:t>
      </w:r>
      <w:r w:rsidR="00F05636" w:rsidRPr="00BF552D">
        <w:t xml:space="preserve">, следвани </w:t>
      </w:r>
      <w:r w:rsidR="00F05636" w:rsidRPr="00FD3CEC">
        <w:t xml:space="preserve">от </w:t>
      </w:r>
      <w:r w:rsidR="00F05636" w:rsidRPr="00BF552D">
        <w:t>Балтийските страни, България, Словакия, Полша</w:t>
      </w:r>
      <w:r w:rsidR="00916159" w:rsidRPr="000C1396">
        <w:t xml:space="preserve"> (</w:t>
      </w:r>
      <w:r w:rsidR="008264A6" w:rsidRPr="000C1396">
        <w:t xml:space="preserve">с </w:t>
      </w:r>
      <w:r w:rsidR="00916159" w:rsidRPr="000C1396">
        <w:t>над 90%)</w:t>
      </w:r>
      <w:r w:rsidR="00F05636" w:rsidRPr="00BF552D">
        <w:t>.</w:t>
      </w:r>
      <w:r w:rsidR="00010C92" w:rsidRPr="00BF552D">
        <w:t xml:space="preserve"> </w:t>
      </w:r>
      <w:r w:rsidR="00B57C1B" w:rsidRPr="000C1396">
        <w:t>България по</w:t>
      </w:r>
      <w:r w:rsidR="00407FC8" w:rsidRPr="000C1396">
        <w:t>с</w:t>
      </w:r>
      <w:r w:rsidR="00B57C1B" w:rsidRPr="000C1396">
        <w:t xml:space="preserve">тигна много добро ниво </w:t>
      </w:r>
      <w:r w:rsidR="00E17940" w:rsidRPr="000C1396">
        <w:t xml:space="preserve">на </w:t>
      </w:r>
      <w:r w:rsidR="00407FC8" w:rsidRPr="000C1396">
        <w:t xml:space="preserve">усвояване </w:t>
      </w:r>
      <w:r w:rsidR="00EA344F" w:rsidRPr="000C1396">
        <w:t>от 95%</w:t>
      </w:r>
      <w:r w:rsidR="00E17940" w:rsidRPr="000C1396">
        <w:t>,</w:t>
      </w:r>
      <w:r w:rsidR="00EA344F" w:rsidRPr="000C1396">
        <w:t xml:space="preserve"> </w:t>
      </w:r>
      <w:r w:rsidR="00B661BB" w:rsidRPr="000C1396">
        <w:t xml:space="preserve">като се има </w:t>
      </w:r>
      <w:r w:rsidR="00B57C1B" w:rsidRPr="000C1396">
        <w:t xml:space="preserve">предвид по-късното </w:t>
      </w:r>
      <w:r w:rsidR="00B661BB" w:rsidRPr="000C1396">
        <w:t xml:space="preserve">й </w:t>
      </w:r>
      <w:r w:rsidR="00B57C1B" w:rsidRPr="000C1396">
        <w:t>присъединяване към ЕС</w:t>
      </w:r>
      <w:r w:rsidR="00B661BB" w:rsidRPr="000C1396">
        <w:t xml:space="preserve"> от останалите осем страни от ЦИЕ</w:t>
      </w:r>
      <w:r w:rsidR="00916159" w:rsidRPr="000C1396">
        <w:t>.</w:t>
      </w:r>
      <w:r w:rsidR="00B57C1B">
        <w:t xml:space="preserve"> </w:t>
      </w:r>
      <w:r w:rsidR="00010C92" w:rsidRPr="00FD3CEC">
        <w:t>Въпреки че Румъния увелич</w:t>
      </w:r>
      <w:r w:rsidR="00521430" w:rsidRPr="007B5BCB">
        <w:t>и</w:t>
      </w:r>
      <w:r w:rsidR="00010C92" w:rsidRPr="00FD3CEC">
        <w:t xml:space="preserve"> значително темп</w:t>
      </w:r>
      <w:r w:rsidR="00EA344F" w:rsidRPr="000C1396">
        <w:t>а</w:t>
      </w:r>
      <w:r w:rsidR="00010C92" w:rsidRPr="00BF552D">
        <w:t xml:space="preserve"> </w:t>
      </w:r>
      <w:r w:rsidR="00010C92" w:rsidRPr="00FD3CEC">
        <w:t xml:space="preserve">на плащанията през </w:t>
      </w:r>
      <w:r w:rsidR="00407FC8" w:rsidRPr="000C1396">
        <w:t xml:space="preserve">периода </w:t>
      </w:r>
      <w:r w:rsidR="00010C92" w:rsidRPr="00FD3CEC">
        <w:t>2010-</w:t>
      </w:r>
      <w:r w:rsidR="00010C92" w:rsidRPr="00BF552D">
        <w:t>20</w:t>
      </w:r>
      <w:r w:rsidR="00010C92" w:rsidRPr="00FD3CEC">
        <w:t>13</w:t>
      </w:r>
      <w:r w:rsidR="00407FC8" w:rsidRPr="000C1396">
        <w:t xml:space="preserve"> г.</w:t>
      </w:r>
      <w:r w:rsidR="00010C92" w:rsidRPr="00FD3CEC">
        <w:t xml:space="preserve">, </w:t>
      </w:r>
      <w:r w:rsidR="00010C92" w:rsidRPr="00BF552D">
        <w:t xml:space="preserve">страната </w:t>
      </w:r>
      <w:r w:rsidR="00D65A39" w:rsidRPr="000C1396">
        <w:t>реализира</w:t>
      </w:r>
      <w:r w:rsidR="00010C92" w:rsidRPr="00BF552D">
        <w:t xml:space="preserve"> 73% </w:t>
      </w:r>
      <w:r w:rsidR="00B661BB" w:rsidRPr="000C1396">
        <w:t>усвояване</w:t>
      </w:r>
      <w:r w:rsidR="00010C92" w:rsidRPr="00BF552D">
        <w:t xml:space="preserve"> към края на 2015 г.</w:t>
      </w:r>
      <w:r w:rsidR="00521430" w:rsidRPr="007B5BCB">
        <w:t xml:space="preserve"> </w:t>
      </w:r>
      <w:r w:rsidR="00407FC8" w:rsidRPr="000C1396">
        <w:t xml:space="preserve">Голямата разлика между </w:t>
      </w:r>
      <w:r w:rsidR="00BA242A" w:rsidRPr="001013F4">
        <w:t>договорените и платени средства</w:t>
      </w:r>
      <w:r w:rsidR="00BA242A" w:rsidRPr="000C1396">
        <w:t xml:space="preserve"> се </w:t>
      </w:r>
      <w:r w:rsidR="00407FC8" w:rsidRPr="000C1396">
        <w:t>разглежда като</w:t>
      </w:r>
      <w:r w:rsidR="00BA242A" w:rsidRPr="000C1396">
        <w:t xml:space="preserve"> проблем на управлението</w:t>
      </w:r>
      <w:r w:rsidR="00A87F0F" w:rsidRPr="000C1396">
        <w:t xml:space="preserve"> и административ</w:t>
      </w:r>
      <w:r w:rsidR="00407FC8" w:rsidRPr="000C1396">
        <w:t xml:space="preserve">ния </w:t>
      </w:r>
      <w:r w:rsidR="00A87F0F" w:rsidRPr="000C1396">
        <w:t>капацитет</w:t>
      </w:r>
      <w:r w:rsidR="005F3DF1" w:rsidRPr="000C1396">
        <w:t xml:space="preserve"> на националните управляващи органи</w:t>
      </w:r>
      <w:r w:rsidR="00FE505E" w:rsidRPr="000C1396">
        <w:t xml:space="preserve">. </w:t>
      </w:r>
      <w:r w:rsidR="00BA242A" w:rsidRPr="001013F4">
        <w:t>Литва</w:t>
      </w:r>
      <w:r w:rsidR="00120F55" w:rsidRPr="000C1396">
        <w:t xml:space="preserve">, </w:t>
      </w:r>
      <w:r w:rsidR="00BA242A" w:rsidRPr="00F60D87">
        <w:t>Словения</w:t>
      </w:r>
      <w:r w:rsidR="00120F55" w:rsidRPr="000C1396">
        <w:t xml:space="preserve"> и Естония</w:t>
      </w:r>
      <w:r w:rsidR="00BA242A" w:rsidRPr="00F60D87">
        <w:t xml:space="preserve"> </w:t>
      </w:r>
      <w:r w:rsidR="00FE505E" w:rsidRPr="000C1396">
        <w:t xml:space="preserve">отчетоха </w:t>
      </w:r>
      <w:r w:rsidR="00120F55" w:rsidRPr="000C1396">
        <w:t xml:space="preserve">най-близък процент </w:t>
      </w:r>
      <w:r w:rsidR="00BA242A" w:rsidRPr="00F60D87">
        <w:t>на</w:t>
      </w:r>
      <w:r w:rsidR="00BA242A" w:rsidRPr="001013F4">
        <w:t xml:space="preserve"> договорените и разплатени проекти</w:t>
      </w:r>
      <w:r w:rsidR="00FE505E" w:rsidRPr="000C1396">
        <w:t xml:space="preserve">, докато </w:t>
      </w:r>
      <w:r w:rsidR="00FE505E" w:rsidRPr="007B5BCB">
        <w:t xml:space="preserve">Хърватска с по-късното си присъединяване </w:t>
      </w:r>
      <w:r w:rsidR="00E17940" w:rsidRPr="000C1396">
        <w:t>къ</w:t>
      </w:r>
      <w:r w:rsidR="00FE505E" w:rsidRPr="007B5BCB">
        <w:t xml:space="preserve">м ЕС </w:t>
      </w:r>
      <w:r w:rsidR="00FE505E" w:rsidRPr="000C1396">
        <w:t xml:space="preserve">от 1 юли 2013 г. </w:t>
      </w:r>
      <w:r w:rsidR="00E45691" w:rsidRPr="000C1396">
        <w:t>бе с</w:t>
      </w:r>
      <w:r w:rsidR="00A87F0F" w:rsidRPr="000C1396">
        <w:t xml:space="preserve"> </w:t>
      </w:r>
      <w:r w:rsidR="00E45691" w:rsidRPr="000C1396">
        <w:t>обя</w:t>
      </w:r>
      <w:r w:rsidRPr="000C1396">
        <w:t>снимо голяма</w:t>
      </w:r>
      <w:r w:rsidR="00A87F0F" w:rsidRPr="000C1396">
        <w:t xml:space="preserve"> </w:t>
      </w:r>
      <w:r w:rsidR="00FE505E" w:rsidRPr="007B5BCB">
        <w:t xml:space="preserve"> разлика</w:t>
      </w:r>
      <w:r w:rsidR="00FE505E" w:rsidRPr="00FE505E">
        <w:t xml:space="preserve"> </w:t>
      </w:r>
      <w:r w:rsidR="00FE505E">
        <w:t>от 60%</w:t>
      </w:r>
      <w:r w:rsidR="00FE505E" w:rsidRPr="007B5BCB">
        <w:t xml:space="preserve"> </w:t>
      </w:r>
      <w:r w:rsidR="00BA242A" w:rsidRPr="001013F4">
        <w:t>(Фигура 1)</w:t>
      </w:r>
      <w:r w:rsidR="00BA242A" w:rsidRPr="00F60D87">
        <w:t>.</w:t>
      </w:r>
    </w:p>
    <w:p w:rsidR="00300A18" w:rsidRDefault="00300A18" w:rsidP="000C1396">
      <w:pPr>
        <w:spacing w:line="360" w:lineRule="auto"/>
        <w:ind w:left="-144" w:right="-144" w:firstLine="720"/>
        <w:jc w:val="both"/>
      </w:pPr>
    </w:p>
    <w:p w:rsidR="006C3B31" w:rsidRPr="000C1396" w:rsidRDefault="006C3B31" w:rsidP="006C3B31">
      <w:pPr>
        <w:spacing w:line="360" w:lineRule="auto"/>
        <w:ind w:left="-144" w:right="-144" w:firstLine="720"/>
        <w:jc w:val="both"/>
        <w:rPr>
          <w:b/>
        </w:rPr>
      </w:pPr>
      <w:r w:rsidRPr="000C1396">
        <w:rPr>
          <w:b/>
        </w:rPr>
        <w:t>Фискални ефекти на европейските структурни фондове в България</w:t>
      </w:r>
    </w:p>
    <w:p w:rsidR="006C3B31" w:rsidRDefault="006C3B31" w:rsidP="006C3B31">
      <w:pPr>
        <w:spacing w:line="360" w:lineRule="auto"/>
        <w:ind w:left="-144" w:right="-144" w:firstLine="720"/>
        <w:jc w:val="both"/>
      </w:pPr>
      <w:proofErr w:type="gramStart"/>
      <w:r w:rsidRPr="001013F4">
        <w:t xml:space="preserve">Приемането на България в Европейският съюз съвпадна с периода на глобалната финансова криза от 2007-2008 г. и за разлика от очакванията на изследователи по темата </w:t>
      </w:r>
      <w:r w:rsidRPr="001013F4">
        <w:lastRenderedPageBreak/>
        <w:t>преди присъединяването, получаването на значителни средства от европейските структурни фондове имаше положителен ефект за фискалната позиция и публичните финанси</w:t>
      </w:r>
      <w:r w:rsidRPr="003A0BA2">
        <w:t>,</w:t>
      </w:r>
      <w:r w:rsidRPr="001013F4">
        <w:t xml:space="preserve"> ка</w:t>
      </w:r>
      <w:r w:rsidRPr="003A0BA2">
        <w:t>к</w:t>
      </w:r>
      <w:r w:rsidRPr="001013F4">
        <w:t>то</w:t>
      </w:r>
      <w:r w:rsidRPr="003A0BA2">
        <w:t xml:space="preserve"> и за икономиката като</w:t>
      </w:r>
      <w:r w:rsidRPr="001013F4">
        <w:t xml:space="preserve"> цяло.</w:t>
      </w:r>
      <w:proofErr w:type="gramEnd"/>
      <w:r>
        <w:t xml:space="preserve"> </w:t>
      </w:r>
      <w:proofErr w:type="gramStart"/>
      <w:r w:rsidRPr="001013F4">
        <w:t>Европейските средства компенсираха негативни</w:t>
      </w:r>
      <w:r w:rsidRPr="000C1396">
        <w:t>те</w:t>
      </w:r>
      <w:r w:rsidRPr="001013F4">
        <w:t xml:space="preserve"> последици на кризата върху България като малка отворена икономика и ефектите от автоматичните стабилизатори (по време на рецесия приходите намаляват, а разходите се увеличават).</w:t>
      </w:r>
      <w:proofErr w:type="gramEnd"/>
      <w:r w:rsidRPr="001013F4">
        <w:t xml:space="preserve"> </w:t>
      </w:r>
      <w:r>
        <w:t xml:space="preserve"> </w:t>
      </w:r>
    </w:p>
    <w:p w:rsidR="006C3B31" w:rsidRDefault="006C3B31" w:rsidP="000C1396">
      <w:pPr>
        <w:spacing w:line="360" w:lineRule="auto"/>
        <w:ind w:left="-144" w:right="-144" w:firstLine="720"/>
        <w:jc w:val="both"/>
      </w:pPr>
    </w:p>
    <w:p w:rsidR="00300A18" w:rsidRDefault="00300A18" w:rsidP="000C1396">
      <w:pPr>
        <w:spacing w:line="360" w:lineRule="auto"/>
        <w:ind w:left="-144" w:right="-144" w:firstLine="720"/>
        <w:jc w:val="both"/>
      </w:pPr>
    </w:p>
    <w:p w:rsidR="00300A18" w:rsidRDefault="00300A18" w:rsidP="000C1396">
      <w:pPr>
        <w:spacing w:line="360" w:lineRule="auto"/>
        <w:ind w:left="-144" w:right="-144" w:firstLine="720"/>
        <w:jc w:val="both"/>
      </w:pPr>
    </w:p>
    <w:p w:rsidR="002E79B2" w:rsidRDefault="004C5ECE" w:rsidP="000C1396">
      <w:pPr>
        <w:spacing w:line="360" w:lineRule="auto"/>
        <w:ind w:left="-144" w:right="-144" w:firstLine="720"/>
        <w:jc w:val="both"/>
      </w:pPr>
      <w:r>
        <w:pict>
          <v:rect id="_x0000_s1041" style="position:absolute;left:0;text-align:left;margin-left:2.25pt;margin-top:-46.5pt;width:436.5pt;height:385.5pt;z-index:251671552">
            <v:textbox style="mso-next-textbox:#_x0000_s1041">
              <w:txbxContent>
                <w:p w:rsidR="00A16F85" w:rsidRDefault="002C08EA">
                  <w:r w:rsidRPr="00A63860">
                    <w:rPr>
                      <w:noProof/>
                    </w:rPr>
                    <w:drawing>
                      <wp:inline distT="0" distB="0" distL="0" distR="0">
                        <wp:extent cx="4657725" cy="2200275"/>
                        <wp:effectExtent l="19050" t="0" r="9525" b="0"/>
                        <wp:docPr id="1" name="Chart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  <w:p w:rsidR="002C08EA" w:rsidRPr="002C08EA" w:rsidRDefault="002C08EA"/>
                <w:p w:rsidR="00A16F85" w:rsidRDefault="002C08EA">
                  <w:pPr>
                    <w:rPr>
                      <w:lang w:val="bg-BG"/>
                    </w:rPr>
                  </w:pPr>
                  <w:r w:rsidRPr="00476B2F">
                    <w:rPr>
                      <w:noProof/>
                    </w:rPr>
                    <w:drawing>
                      <wp:inline distT="0" distB="0" distL="0" distR="0">
                        <wp:extent cx="4657725" cy="1981200"/>
                        <wp:effectExtent l="19050" t="0" r="9525" b="0"/>
                        <wp:docPr id="6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inline>
                    </w:drawing>
                  </w:r>
                </w:p>
                <w:p w:rsidR="009D57A5" w:rsidRDefault="009D57A5" w:rsidP="00F2591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</w:p>
                <w:p w:rsidR="00F25916" w:rsidRPr="002C08EA" w:rsidRDefault="00F25916" w:rsidP="00F25916">
                  <w:pPr>
                    <w:spacing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2C08E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Източник: KПМГ 201</w:t>
                  </w:r>
                  <w:r w:rsidRPr="002C08EA">
                    <w:rPr>
                      <w:rFonts w:eastAsia="Times New Roman"/>
                      <w:color w:val="000000"/>
                      <w:sz w:val="20"/>
                      <w:szCs w:val="20"/>
                      <w:lang w:val="bg-BG"/>
                    </w:rPr>
                    <w:t>6</w:t>
                  </w:r>
                  <w:r w:rsidRPr="002C08EA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.    </w:t>
                  </w:r>
                </w:p>
              </w:txbxContent>
            </v:textbox>
          </v:rect>
        </w:pict>
      </w:r>
    </w:p>
    <w:p w:rsidR="002E79B2" w:rsidRDefault="002E79B2" w:rsidP="000C1396">
      <w:pPr>
        <w:spacing w:line="360" w:lineRule="auto"/>
        <w:ind w:left="-144" w:right="-144" w:firstLine="720"/>
        <w:jc w:val="both"/>
      </w:pPr>
    </w:p>
    <w:p w:rsidR="002E79B2" w:rsidRPr="000C1396" w:rsidRDefault="002E79B2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F22665" w:rsidRPr="000C1396" w:rsidRDefault="00F22665" w:rsidP="000C1396">
      <w:pPr>
        <w:spacing w:line="360" w:lineRule="auto"/>
        <w:ind w:left="-144" w:right="-144" w:firstLine="720"/>
        <w:jc w:val="both"/>
      </w:pPr>
    </w:p>
    <w:p w:rsidR="0058002F" w:rsidRPr="000C1396" w:rsidRDefault="0058002F" w:rsidP="000C1396">
      <w:pPr>
        <w:spacing w:line="360" w:lineRule="auto"/>
        <w:ind w:left="-144" w:right="-144" w:firstLine="720"/>
        <w:jc w:val="both"/>
      </w:pPr>
      <w:proofErr w:type="gramStart"/>
      <w:r w:rsidRPr="000C1396">
        <w:t>Фигура 1.</w:t>
      </w:r>
      <w:proofErr w:type="gramEnd"/>
      <w:r w:rsidRPr="000C1396">
        <w:t xml:space="preserve"> Страни от ЦИЕ: Усвояване на </w:t>
      </w:r>
      <w:r w:rsidR="00F821F0" w:rsidRPr="000C1396">
        <w:t>европейски структурни фондове</w:t>
      </w:r>
      <w:r w:rsidRPr="000C1396">
        <w:t xml:space="preserve"> през програмния период 2007–13, към 31.12.2015 г.</w:t>
      </w:r>
    </w:p>
    <w:p w:rsidR="00FE53F4" w:rsidRDefault="00FE53F4" w:rsidP="000C1396">
      <w:pPr>
        <w:spacing w:line="360" w:lineRule="auto"/>
        <w:ind w:left="-144" w:right="-144" w:firstLine="720"/>
        <w:jc w:val="both"/>
      </w:pPr>
    </w:p>
    <w:p w:rsidR="00BE00AA" w:rsidRDefault="00BE00AA" w:rsidP="000C1396">
      <w:pPr>
        <w:spacing w:line="360" w:lineRule="auto"/>
        <w:ind w:left="-144" w:right="-144" w:firstLine="720"/>
        <w:jc w:val="both"/>
      </w:pPr>
      <w:r w:rsidRPr="001013F4">
        <w:t xml:space="preserve">България имаше силна фискална позиция с излишък от </w:t>
      </w:r>
      <w:r w:rsidRPr="000C1396">
        <w:t>3.1%</w:t>
      </w:r>
      <w:r w:rsidRPr="001013F4">
        <w:t xml:space="preserve"> от БВП през 2007 г. </w:t>
      </w:r>
      <w:r w:rsidRPr="000C1396">
        <w:t xml:space="preserve">и 2.8% през 2008 г. </w:t>
      </w:r>
      <w:r w:rsidRPr="001013F4">
        <w:t xml:space="preserve">и </w:t>
      </w:r>
      <w:r w:rsidRPr="000C1396">
        <w:t xml:space="preserve">съответно </w:t>
      </w:r>
      <w:r w:rsidRPr="001013F4">
        <w:t xml:space="preserve">значителен буфер във фискалния резерв от </w:t>
      </w:r>
      <w:r w:rsidRPr="000C1396">
        <w:t>над 10%</w:t>
      </w:r>
      <w:r>
        <w:t xml:space="preserve"> </w:t>
      </w:r>
      <w:r w:rsidRPr="001013F4">
        <w:t xml:space="preserve">от БВП, които заедно с получените трансфери от европейските структурни фондове позволиха на </w:t>
      </w:r>
      <w:r w:rsidRPr="001013F4">
        <w:lastRenderedPageBreak/>
        <w:t>страната да устои на страничните външни ефекти от глобалната криза и да избегне използването на международна финансова помощ</w:t>
      </w:r>
      <w:r w:rsidR="00D44AAB">
        <w:rPr>
          <w:rStyle w:val="FootnoteReference"/>
        </w:rPr>
        <w:footnoteReference w:id="3"/>
      </w:r>
      <w:r w:rsidRPr="001013F4">
        <w:t xml:space="preserve">. </w:t>
      </w:r>
    </w:p>
    <w:p w:rsidR="00386EE2" w:rsidRPr="00F60D87" w:rsidRDefault="00E721FD" w:rsidP="000C1396">
      <w:pPr>
        <w:spacing w:line="360" w:lineRule="auto"/>
        <w:ind w:left="-144" w:right="-144" w:firstLine="720"/>
        <w:jc w:val="both"/>
      </w:pPr>
      <w:proofErr w:type="gramStart"/>
      <w:r w:rsidRPr="001013F4">
        <w:t>С изключение на първата година от присъединяването на България към ЕС, през програмния период 2007-2013</w:t>
      </w:r>
      <w:r w:rsidR="000E4EE2" w:rsidRPr="000C1396">
        <w:t xml:space="preserve"> г.</w:t>
      </w:r>
      <w:r w:rsidRPr="001013F4">
        <w:t xml:space="preserve"> страната бе нетен получател на европейски средства.</w:t>
      </w:r>
      <w:proofErr w:type="gramEnd"/>
      <w:r w:rsidR="00BD25B2" w:rsidRPr="00802A49">
        <w:t xml:space="preserve"> </w:t>
      </w:r>
      <w:proofErr w:type="gramStart"/>
      <w:r w:rsidR="003651B3" w:rsidRPr="001013F4">
        <w:t>В началото на</w:t>
      </w:r>
      <w:r w:rsidR="00645106" w:rsidRPr="001013F4">
        <w:t xml:space="preserve"> програмния</w:t>
      </w:r>
      <w:r w:rsidR="003651B3" w:rsidRPr="001013F4">
        <w:t xml:space="preserve"> </w:t>
      </w:r>
      <w:r w:rsidR="00645106" w:rsidRPr="001013F4">
        <w:t xml:space="preserve">период получените </w:t>
      </w:r>
      <w:r w:rsidR="003651B3" w:rsidRPr="001013F4">
        <w:t>европейски фондове в България бяха основно аванси и надвишаваха разходите за финансиране на европейските проекти без ефект по отношение на съвкупното търсене</w:t>
      </w:r>
      <w:r w:rsidR="00E010F4" w:rsidRPr="001013F4">
        <w:t>, но подобряващи фискална</w:t>
      </w:r>
      <w:r w:rsidR="007F6C70" w:rsidRPr="001013F4">
        <w:t>та</w:t>
      </w:r>
      <w:r w:rsidR="00E010F4" w:rsidRPr="001013F4">
        <w:t xml:space="preserve"> позиция</w:t>
      </w:r>
      <w:r w:rsidR="003651B3" w:rsidRPr="001013F4">
        <w:t>.</w:t>
      </w:r>
      <w:proofErr w:type="gramEnd"/>
      <w:r w:rsidR="003651B3" w:rsidRPr="001013F4">
        <w:t xml:space="preserve"> </w:t>
      </w:r>
      <w:r w:rsidR="00645106" w:rsidRPr="001013F4">
        <w:t xml:space="preserve">Грантовият елемент се увеличаваше от 0.5% до 2% от БВП. </w:t>
      </w:r>
      <w:proofErr w:type="gramStart"/>
      <w:r w:rsidR="0013229D" w:rsidRPr="001013F4">
        <w:t>Получените аванси се</w:t>
      </w:r>
      <w:r w:rsidR="00DD646E" w:rsidRPr="001013F4">
        <w:t xml:space="preserve"> съхранява</w:t>
      </w:r>
      <w:r w:rsidR="0013229D" w:rsidRPr="001013F4">
        <w:t>ха</w:t>
      </w:r>
      <w:r w:rsidR="00DD646E" w:rsidRPr="001013F4">
        <w:t xml:space="preserve"> в единната сметка на държавното съкровище и </w:t>
      </w:r>
      <w:r w:rsidR="0013229D" w:rsidRPr="001013F4">
        <w:t xml:space="preserve">увеличаваха средствата на </w:t>
      </w:r>
      <w:r w:rsidR="00DD646E" w:rsidRPr="001013F4">
        <w:t>фискалн</w:t>
      </w:r>
      <w:r w:rsidR="00386EE2" w:rsidRPr="00F60D87">
        <w:t>ия</w:t>
      </w:r>
      <w:r w:rsidR="00DD646E" w:rsidRPr="001013F4">
        <w:t xml:space="preserve"> резерв, който</w:t>
      </w:r>
      <w:r w:rsidR="003554B7" w:rsidRPr="007B5BCB">
        <w:t xml:space="preserve"> основно</w:t>
      </w:r>
      <w:r w:rsidR="00257351" w:rsidRPr="001013F4">
        <w:t xml:space="preserve"> </w:t>
      </w:r>
      <w:r w:rsidR="00DD646E" w:rsidRPr="001013F4">
        <w:t>акумулира излишъците по бюджета в периоди на ик</w:t>
      </w:r>
      <w:r w:rsidR="00386EE2">
        <w:t>ономически растеж на икономикат</w:t>
      </w:r>
      <w:r w:rsidR="00386EE2" w:rsidRPr="00F60D87">
        <w:t>а</w:t>
      </w:r>
      <w:r w:rsidR="000E4EE2" w:rsidRPr="000C1396">
        <w:t>, постъпления от приватизация</w:t>
      </w:r>
      <w:r w:rsidR="003554B7" w:rsidRPr="007B5BCB">
        <w:t xml:space="preserve"> и средства от дългово финансиране</w:t>
      </w:r>
      <w:r w:rsidR="00257351" w:rsidRPr="001013F4">
        <w:t>.</w:t>
      </w:r>
      <w:proofErr w:type="gramEnd"/>
      <w:r w:rsidR="00DD646E" w:rsidRPr="001013F4">
        <w:t xml:space="preserve"> </w:t>
      </w:r>
      <w:r w:rsidRPr="00802A49">
        <w:t>В момента на членството в ЕС на 1 януари 2007 г.</w:t>
      </w:r>
      <w:r w:rsidRPr="007B5BCB">
        <w:t xml:space="preserve"> </w:t>
      </w:r>
      <w:r w:rsidRPr="00802A49">
        <w:t>административния</w:t>
      </w:r>
      <w:r w:rsidRPr="007B5BCB">
        <w:t>т</w:t>
      </w:r>
      <w:r w:rsidRPr="00802A49">
        <w:t xml:space="preserve"> капацитет на България </w:t>
      </w:r>
      <w:r w:rsidRPr="007B5BCB">
        <w:t>не б</w:t>
      </w:r>
      <w:r w:rsidRPr="00802A49">
        <w:t>е достатъч</w:t>
      </w:r>
      <w:r w:rsidRPr="007B5BCB">
        <w:t>е</w:t>
      </w:r>
      <w:r w:rsidRPr="00802A49">
        <w:t xml:space="preserve">н, за да </w:t>
      </w:r>
      <w:r w:rsidRPr="007B5BCB">
        <w:t xml:space="preserve">може правителството да </w:t>
      </w:r>
      <w:r w:rsidRPr="00802A49">
        <w:t>се възползва</w:t>
      </w:r>
      <w:r w:rsidRPr="007B5BCB">
        <w:t xml:space="preserve"> веднага</w:t>
      </w:r>
      <w:r w:rsidRPr="00802A49">
        <w:t xml:space="preserve"> от </w:t>
      </w:r>
      <w:r w:rsidRPr="007B5BCB">
        <w:t>европейските структурни фондове</w:t>
      </w:r>
      <w:r w:rsidRPr="00802A49">
        <w:t>.</w:t>
      </w:r>
      <w:r w:rsidR="001C6EBE" w:rsidRPr="000C1396">
        <w:t xml:space="preserve"> </w:t>
      </w:r>
      <w:r w:rsidR="0013229D" w:rsidRPr="001013F4">
        <w:t>Към края на периода обаче</w:t>
      </w:r>
      <w:r w:rsidR="00232822" w:rsidRPr="007B5BCB">
        <w:t>, когато</w:t>
      </w:r>
      <w:r w:rsidR="0013229D" w:rsidRPr="001013F4">
        <w:t xml:space="preserve"> изпълнението на проектите с европейско финансиране се ускори и плащанията трябваше да приключат до края на 2015 г., </w:t>
      </w:r>
      <w:r w:rsidR="00232822" w:rsidRPr="007B5BCB">
        <w:t>а</w:t>
      </w:r>
      <w:r w:rsidR="0013229D" w:rsidRPr="001013F4">
        <w:t xml:space="preserve"> не всички средства от Европейския съюз </w:t>
      </w:r>
      <w:r w:rsidR="00232822" w:rsidRPr="007B5BCB">
        <w:t>бяха</w:t>
      </w:r>
      <w:r w:rsidR="0013229D" w:rsidRPr="001013F4">
        <w:t xml:space="preserve"> възстановени, префинансирането на европейските проекти от страна на националния бюджет оказа силен фискален стимул върху икономиката и </w:t>
      </w:r>
      <w:r w:rsidR="00232822" w:rsidRPr="007B5BCB">
        <w:t xml:space="preserve">негативно въздействие въху </w:t>
      </w:r>
      <w:r w:rsidR="0013229D" w:rsidRPr="001013F4">
        <w:t>фискалната позиция.</w:t>
      </w:r>
      <w:r w:rsidR="000D747F" w:rsidRPr="001013F4">
        <w:t xml:space="preserve"> </w:t>
      </w:r>
      <w:r w:rsidR="00232822" w:rsidRPr="007B5BCB">
        <w:t xml:space="preserve">Налице е </w:t>
      </w:r>
      <w:r w:rsidR="00D83CF9" w:rsidRPr="001013F4">
        <w:t>и друг времеви момент, защото икономическият стимулира</w:t>
      </w:r>
      <w:r w:rsidR="00257351" w:rsidRPr="001013F4">
        <w:t>щ</w:t>
      </w:r>
      <w:r w:rsidR="00D83CF9" w:rsidRPr="001013F4">
        <w:t xml:space="preserve"> ефект </w:t>
      </w:r>
      <w:r w:rsidR="00257351" w:rsidRPr="001013F4">
        <w:t>от</w:t>
      </w:r>
      <w:r w:rsidR="00D83CF9" w:rsidRPr="001013F4">
        <w:t xml:space="preserve"> европейските средства за икономиката е когато те се усвояват, а не когато се възстановяват от Европейската комисия.</w:t>
      </w:r>
      <w:r w:rsidR="000D747F" w:rsidRPr="001013F4">
        <w:t xml:space="preserve"> </w:t>
      </w:r>
      <w:proofErr w:type="gramStart"/>
      <w:r w:rsidR="00DB371B" w:rsidRPr="001013F4">
        <w:t>Още повече, че програмните периоди се застъпват и в началото на</w:t>
      </w:r>
      <w:r w:rsidR="00257351" w:rsidRPr="001013F4">
        <w:t xml:space="preserve"> всеки</w:t>
      </w:r>
      <w:r w:rsidR="00DB371B" w:rsidRPr="001013F4">
        <w:t xml:space="preserve"> следващия програмен период постъпват аванси, които отново превишават усвояването им по новите проекти.</w:t>
      </w:r>
      <w:proofErr w:type="gramEnd"/>
      <w:r w:rsidR="00DB371B" w:rsidRPr="001013F4">
        <w:t xml:space="preserve"> </w:t>
      </w:r>
    </w:p>
    <w:p w:rsidR="002C3EB1" w:rsidRPr="00F60D87" w:rsidRDefault="002C3EB1" w:rsidP="000C1396">
      <w:pPr>
        <w:spacing w:line="360" w:lineRule="auto"/>
        <w:ind w:left="-144" w:right="-144" w:firstLine="720"/>
        <w:jc w:val="both"/>
      </w:pPr>
      <w:r w:rsidRPr="001013F4">
        <w:t>Д</w:t>
      </w:r>
      <w:r>
        <w:t>анни</w:t>
      </w:r>
      <w:r w:rsidRPr="001013F4">
        <w:t>те</w:t>
      </w:r>
      <w:r>
        <w:t xml:space="preserve"> за</w:t>
      </w:r>
      <w:r w:rsidRPr="001013F4">
        <w:t xml:space="preserve"> така наречения изместващ/усилващ фактор</w:t>
      </w:r>
      <w:r>
        <w:t>, обозначен с α, за страните от ЦИЕ</w:t>
      </w:r>
      <w:r w:rsidRPr="001013F4">
        <w:t>,</w:t>
      </w:r>
      <w:r>
        <w:t xml:space="preserve"> </w:t>
      </w:r>
      <w:r w:rsidR="00935F45" w:rsidRPr="000C1396">
        <w:t xml:space="preserve">измерва </w:t>
      </w:r>
      <w:r w:rsidR="007215D7" w:rsidRPr="000C1396">
        <w:t xml:space="preserve">ефектите от </w:t>
      </w:r>
      <w:r w:rsidR="00935F45" w:rsidRPr="000C1396">
        <w:t>европейск</w:t>
      </w:r>
      <w:r w:rsidR="007215D7" w:rsidRPr="000C1396">
        <w:t xml:space="preserve">ите фондове и други транзакции с ЕС </w:t>
      </w:r>
      <w:r w:rsidR="00935F45" w:rsidRPr="000C1396">
        <w:t xml:space="preserve"> </w:t>
      </w:r>
      <w:r w:rsidR="007215D7" w:rsidRPr="000C1396">
        <w:t xml:space="preserve">върху съвкупното търсене </w:t>
      </w:r>
      <w:r w:rsidR="00935F45" w:rsidRPr="000C1396">
        <w:t xml:space="preserve">и </w:t>
      </w:r>
      <w:r>
        <w:t>в зависимост от различния тип европейски фондове се движи между 0.55 и 0.65</w:t>
      </w:r>
      <w:r w:rsidRPr="001013F4">
        <w:t xml:space="preserve"> (</w:t>
      </w:r>
      <w:r w:rsidRPr="00824659">
        <w:t>Rosenberg and Sierhej</w:t>
      </w:r>
      <w:r w:rsidRPr="001013F4">
        <w:t xml:space="preserve">, </w:t>
      </w:r>
      <w:r w:rsidRPr="00824659">
        <w:t>2007)</w:t>
      </w:r>
      <w:r>
        <w:t xml:space="preserve">. Следвайки допълнителните изисквания за </w:t>
      </w:r>
      <w:proofErr w:type="gramStart"/>
      <w:r w:rsidR="00BA7F83" w:rsidRPr="001013F4">
        <w:t xml:space="preserve">европейските </w:t>
      </w:r>
      <w:r w:rsidR="00D44AAB">
        <w:t xml:space="preserve"> </w:t>
      </w:r>
      <w:r w:rsidR="00BA7F83" w:rsidRPr="001013F4">
        <w:t>структурни</w:t>
      </w:r>
      <w:proofErr w:type="gramEnd"/>
      <w:r w:rsidR="00BA7F83" w:rsidRPr="001013F4">
        <w:t xml:space="preserve"> финдове</w:t>
      </w:r>
      <w:r>
        <w:t xml:space="preserve"> за </w:t>
      </w:r>
      <w:r w:rsidR="006C4DD6" w:rsidRPr="000C1396">
        <w:t>„</w:t>
      </w:r>
      <w:r>
        <w:t>допълняемост</w:t>
      </w:r>
      <w:r w:rsidR="006C4DD6" w:rsidRPr="000C1396">
        <w:t>”</w:t>
      </w:r>
      <w:r>
        <w:t xml:space="preserve"> на европейското финансиране от страна на </w:t>
      </w:r>
      <w:r>
        <w:lastRenderedPageBreak/>
        <w:t>националните правителства</w:t>
      </w:r>
      <w:r w:rsidRPr="00333A35">
        <w:t xml:space="preserve"> </w:t>
      </w:r>
      <w:r>
        <w:t>(т.нар. „</w:t>
      </w:r>
      <w:proofErr w:type="gramStart"/>
      <w:r>
        <w:t>additionality</w:t>
      </w:r>
      <w:proofErr w:type="gramEnd"/>
      <w:r>
        <w:t xml:space="preserve">” принцип чрез националното съфинансиране), този фактор може да </w:t>
      </w:r>
      <w:r w:rsidRPr="001013F4">
        <w:t>достигне 1</w:t>
      </w:r>
      <w:r>
        <w:t xml:space="preserve">. В първите две години </w:t>
      </w:r>
      <w:r w:rsidRPr="001013F4">
        <w:t xml:space="preserve">и </w:t>
      </w:r>
      <w:r>
        <w:t xml:space="preserve">половина на членство, въздействието </w:t>
      </w:r>
      <w:r w:rsidRPr="001013F4">
        <w:t xml:space="preserve">на европейските структурни фондове </w:t>
      </w:r>
      <w:r>
        <w:t>върху съвкупното търсене</w:t>
      </w:r>
      <w:r w:rsidRPr="001013F4">
        <w:t xml:space="preserve"> </w:t>
      </w:r>
      <w:r w:rsidR="003E089C" w:rsidRPr="001013F4">
        <w:t>в България</w:t>
      </w:r>
      <w:r w:rsidR="008E3555" w:rsidRPr="000C1396">
        <w:t>, подобно н</w:t>
      </w:r>
      <w:r w:rsidR="00647908" w:rsidRPr="000C1396">
        <w:t>а</w:t>
      </w:r>
      <w:r w:rsidR="008E3555" w:rsidRPr="000C1396">
        <w:t xml:space="preserve"> другите страни от Ц</w:t>
      </w:r>
      <w:r w:rsidR="00381005" w:rsidRPr="000C1396">
        <w:t>ИЕ</w:t>
      </w:r>
      <w:r w:rsidR="003E089C" w:rsidRPr="001013F4">
        <w:t xml:space="preserve"> се оказа</w:t>
      </w:r>
      <w:r w:rsidR="00905DED" w:rsidRPr="001013F4">
        <w:t xml:space="preserve"> отрицателно,</w:t>
      </w:r>
      <w:r w:rsidRPr="001013F4">
        <w:t xml:space="preserve"> </w:t>
      </w:r>
      <w:r w:rsidR="00427D04">
        <w:t>умерено</w:t>
      </w:r>
      <w:r w:rsidR="00427D04" w:rsidRPr="001013F4">
        <w:t xml:space="preserve"> до края на програмния период 2017 – 2013 </w:t>
      </w:r>
      <w:r w:rsidR="008E3555" w:rsidRPr="000C1396">
        <w:t xml:space="preserve">г. </w:t>
      </w:r>
      <w:r w:rsidR="003E089C" w:rsidRPr="001013F4">
        <w:t>и</w:t>
      </w:r>
      <w:r w:rsidR="00427D04" w:rsidRPr="001013F4">
        <w:t xml:space="preserve"> по-високо за годините след приключването му в</w:t>
      </w:r>
      <w:r w:rsidRPr="001013F4">
        <w:t xml:space="preserve"> зависимост от </w:t>
      </w:r>
      <w:r w:rsidR="00221CE9" w:rsidRPr="000C1396">
        <w:t xml:space="preserve">стойността на </w:t>
      </w:r>
      <w:r w:rsidRPr="001013F4">
        <w:t>фактор</w:t>
      </w:r>
      <w:r w:rsidR="00221CE9" w:rsidRPr="000C1396">
        <w:t>а</w:t>
      </w:r>
      <w:r w:rsidRPr="001013F4">
        <w:t xml:space="preserve"> </w:t>
      </w:r>
      <w:r>
        <w:t>α</w:t>
      </w:r>
      <w:r w:rsidRPr="001013F4">
        <w:t xml:space="preserve"> (фигура </w:t>
      </w:r>
      <w:r w:rsidR="00942353" w:rsidRPr="000C1396">
        <w:t>2</w:t>
      </w:r>
      <w:r w:rsidRPr="001013F4">
        <w:t>)</w:t>
      </w:r>
      <w:r>
        <w:t>.</w:t>
      </w:r>
    </w:p>
    <w:p w:rsidR="00BA7F83" w:rsidRPr="000C1396" w:rsidRDefault="004C5ECE" w:rsidP="000C1396">
      <w:pPr>
        <w:spacing w:line="360" w:lineRule="auto"/>
        <w:ind w:left="-144" w:right="-144" w:firstLine="720"/>
        <w:jc w:val="both"/>
      </w:pPr>
      <w:r>
        <w:pict>
          <v:rect id="_x0000_s1038" style="position:absolute;left:0;text-align:left;margin-left:-6pt;margin-top:8.85pt;width:462.75pt;height:216.85pt;z-index:251669504">
            <v:textbox style="mso-next-textbox:#_x0000_s1038">
              <w:txbxContent>
                <w:p w:rsidR="00A16F85" w:rsidRDefault="00A16F85" w:rsidP="00BA7F8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val="bg-BG"/>
                    </w:rPr>
                  </w:pPr>
                </w:p>
                <w:p w:rsidR="00991514" w:rsidRPr="00875576" w:rsidRDefault="00A16F85" w:rsidP="0099151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val="bg-BG"/>
                    </w:rPr>
                    <w:t xml:space="preserve">а) </w:t>
                  </w:r>
                  <w:r w:rsidRPr="0087557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α = 0.55 </w:t>
                  </w:r>
                  <w:r w:rsidR="009915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val="bg-BG"/>
                    </w:rPr>
                    <w:t xml:space="preserve">                                                               б) </w:t>
                  </w:r>
                  <w:r w:rsidR="00991514" w:rsidRPr="0087557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α = </w:t>
                  </w:r>
                  <w:r w:rsidR="00991514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val="bg-BG"/>
                    </w:rPr>
                    <w:t>1</w:t>
                  </w:r>
                  <w:r w:rsidR="00991514" w:rsidRPr="0087557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</w:p>
                <w:p w:rsidR="00A16F85" w:rsidRPr="00875576" w:rsidRDefault="00A16F85" w:rsidP="00BA7F83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</w:pPr>
                </w:p>
                <w:p w:rsidR="00A16F85" w:rsidRDefault="00A16F85" w:rsidP="00BA7F83">
                  <w:pPr>
                    <w:pStyle w:val="ListBullet"/>
                    <w:numPr>
                      <w:ilvl w:val="0"/>
                      <w:numId w:val="0"/>
                    </w:numPr>
                    <w:spacing w:after="0" w:line="360" w:lineRule="auto"/>
                    <w:jc w:val="both"/>
                    <w:rPr>
                      <w:lang w:val="bg-BG"/>
                    </w:rPr>
                  </w:pPr>
                  <w:r w:rsidRPr="00427D04">
                    <w:rPr>
                      <w:noProof/>
                    </w:rPr>
                    <w:drawing>
                      <wp:inline distT="0" distB="0" distL="0" distR="0">
                        <wp:extent cx="2495550" cy="1781175"/>
                        <wp:effectExtent l="19050" t="0" r="19050" b="0"/>
                        <wp:docPr id="29" name="Chart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  <w:r w:rsidR="00991514">
                    <w:rPr>
                      <w:lang w:val="bg-BG"/>
                    </w:rPr>
                    <w:t xml:space="preserve">       </w:t>
                  </w:r>
                  <w:r w:rsidR="00991514" w:rsidRPr="00991514">
                    <w:rPr>
                      <w:noProof/>
                    </w:rPr>
                    <w:drawing>
                      <wp:inline distT="0" distB="0" distL="0" distR="0">
                        <wp:extent cx="2352675" cy="1781175"/>
                        <wp:effectExtent l="19050" t="0" r="9525" b="0"/>
                        <wp:docPr id="5" name="Chart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  <w:p w:rsidR="00A16F85" w:rsidRDefault="00A16F85" w:rsidP="00BA7F83">
                  <w:pPr>
                    <w:pStyle w:val="ListBullet"/>
                    <w:numPr>
                      <w:ilvl w:val="0"/>
                      <w:numId w:val="0"/>
                    </w:numPr>
                    <w:spacing w:after="0" w:line="360" w:lineRule="auto"/>
                    <w:jc w:val="both"/>
                    <w:rPr>
                      <w:sz w:val="20"/>
                      <w:lang w:val="bg-BG"/>
                    </w:rPr>
                  </w:pPr>
                  <w:r w:rsidRPr="00D961DF">
                    <w:rPr>
                      <w:sz w:val="20"/>
                      <w:lang w:val="bg-BG"/>
                    </w:rPr>
                    <w:t>Източник: Собствени оценки,</w:t>
                  </w:r>
                  <w:r w:rsidRPr="00D961DF">
                    <w:rPr>
                      <w:sz w:val="20"/>
                    </w:rPr>
                    <w:t xml:space="preserve"> Rosenberg </w:t>
                  </w:r>
                  <w:r>
                    <w:rPr>
                      <w:sz w:val="20"/>
                      <w:lang w:val="bg-BG"/>
                    </w:rPr>
                    <w:t>и</w:t>
                  </w:r>
                  <w:r w:rsidRPr="00D961DF">
                    <w:rPr>
                      <w:sz w:val="20"/>
                    </w:rPr>
                    <w:t xml:space="preserve"> Sierhej</w:t>
                  </w:r>
                  <w:r w:rsidRPr="00D961DF">
                    <w:rPr>
                      <w:sz w:val="20"/>
                      <w:lang w:val="bg-BG"/>
                    </w:rPr>
                    <w:t xml:space="preserve"> формула (</w:t>
                  </w:r>
                  <w:r w:rsidRPr="00D961DF">
                    <w:rPr>
                      <w:sz w:val="20"/>
                    </w:rPr>
                    <w:t>2007</w:t>
                  </w:r>
                  <w:r w:rsidRPr="00D961DF">
                    <w:rPr>
                      <w:sz w:val="20"/>
                      <w:lang w:val="bg-BG"/>
                    </w:rPr>
                    <w:t>).</w:t>
                  </w:r>
                </w:p>
                <w:p w:rsidR="00935F45" w:rsidRPr="00D961DF" w:rsidRDefault="00935F45" w:rsidP="00BA7F83">
                  <w:pPr>
                    <w:pStyle w:val="ListBullet"/>
                    <w:numPr>
                      <w:ilvl w:val="0"/>
                      <w:numId w:val="0"/>
                    </w:numPr>
                    <w:spacing w:after="0" w:line="360" w:lineRule="auto"/>
                    <w:jc w:val="both"/>
                    <w:rPr>
                      <w:sz w:val="20"/>
                      <w:lang w:val="bg-BG"/>
                    </w:rPr>
                  </w:pPr>
                </w:p>
                <w:p w:rsidR="00A16F85" w:rsidRDefault="00A16F85" w:rsidP="00BA7F83"/>
              </w:txbxContent>
            </v:textbox>
          </v:rect>
        </w:pict>
      </w:r>
    </w:p>
    <w:p w:rsidR="00BA7F83" w:rsidRPr="000C1396" w:rsidRDefault="00BA7F83" w:rsidP="000C1396">
      <w:pPr>
        <w:spacing w:line="360" w:lineRule="auto"/>
        <w:ind w:left="-144" w:right="-144" w:firstLine="720"/>
        <w:jc w:val="both"/>
      </w:pPr>
    </w:p>
    <w:p w:rsidR="00BA7F83" w:rsidRPr="000C1396" w:rsidRDefault="00BA7F83" w:rsidP="000C1396">
      <w:pPr>
        <w:spacing w:line="360" w:lineRule="auto"/>
        <w:ind w:left="-144" w:right="-144" w:firstLine="720"/>
        <w:jc w:val="both"/>
      </w:pPr>
    </w:p>
    <w:p w:rsidR="00BA7F83" w:rsidRPr="000C1396" w:rsidRDefault="00BA7F83" w:rsidP="000C1396">
      <w:pPr>
        <w:spacing w:line="360" w:lineRule="auto"/>
        <w:ind w:left="-144" w:right="-144" w:firstLine="720"/>
        <w:jc w:val="both"/>
      </w:pPr>
    </w:p>
    <w:p w:rsidR="00BA7F83" w:rsidRPr="000C1396" w:rsidRDefault="00BA7F83" w:rsidP="000C1396">
      <w:pPr>
        <w:spacing w:line="360" w:lineRule="auto"/>
        <w:ind w:left="-144" w:right="-144" w:firstLine="720"/>
        <w:jc w:val="both"/>
      </w:pPr>
    </w:p>
    <w:p w:rsidR="00BA7F83" w:rsidRPr="000C1396" w:rsidRDefault="00BA7F83" w:rsidP="000C1396">
      <w:pPr>
        <w:spacing w:line="360" w:lineRule="auto"/>
        <w:ind w:left="-144" w:right="-144" w:firstLine="720"/>
        <w:jc w:val="both"/>
      </w:pPr>
    </w:p>
    <w:p w:rsidR="00BA7F83" w:rsidRPr="000C1396" w:rsidRDefault="00BA7F83" w:rsidP="000C1396">
      <w:pPr>
        <w:spacing w:line="360" w:lineRule="auto"/>
        <w:ind w:left="-144" w:right="-144" w:firstLine="720"/>
        <w:jc w:val="both"/>
      </w:pPr>
    </w:p>
    <w:p w:rsidR="00BA7F83" w:rsidRPr="000C1396" w:rsidRDefault="00BA7F83" w:rsidP="000C1396">
      <w:pPr>
        <w:spacing w:line="360" w:lineRule="auto"/>
        <w:ind w:left="-144" w:right="-144" w:firstLine="720"/>
        <w:jc w:val="both"/>
      </w:pPr>
    </w:p>
    <w:p w:rsidR="00BA7F83" w:rsidRPr="000C1396" w:rsidRDefault="00BA7F83" w:rsidP="000C1396">
      <w:pPr>
        <w:spacing w:line="360" w:lineRule="auto"/>
        <w:ind w:left="-144" w:right="-144" w:firstLine="720"/>
        <w:jc w:val="both"/>
      </w:pPr>
    </w:p>
    <w:p w:rsidR="00BA7F83" w:rsidRPr="000C1396" w:rsidRDefault="00BA7F83" w:rsidP="000C1396">
      <w:pPr>
        <w:spacing w:line="360" w:lineRule="auto"/>
        <w:ind w:left="-144" w:right="-144" w:firstLine="720"/>
        <w:jc w:val="both"/>
      </w:pPr>
    </w:p>
    <w:p w:rsidR="00BA7F83" w:rsidRPr="000C1396" w:rsidRDefault="00BA7F83" w:rsidP="000C1396">
      <w:pPr>
        <w:spacing w:line="360" w:lineRule="auto"/>
        <w:ind w:left="-144" w:right="-144" w:firstLine="720"/>
        <w:jc w:val="both"/>
      </w:pPr>
    </w:p>
    <w:p w:rsidR="004C2BC6" w:rsidRPr="000C1396" w:rsidRDefault="004C2BC6" w:rsidP="000C1396">
      <w:pPr>
        <w:spacing w:line="360" w:lineRule="auto"/>
        <w:ind w:left="-144" w:right="-144" w:firstLine="720"/>
        <w:jc w:val="both"/>
      </w:pPr>
      <w:proofErr w:type="gramStart"/>
      <w:r w:rsidRPr="000C1396">
        <w:t>Фигура 2.</w:t>
      </w:r>
      <w:proofErr w:type="gramEnd"/>
      <w:r w:rsidRPr="000C1396">
        <w:t xml:space="preserve"> Ефектите на европейските фондове и другите транзакции с ЕС върху съвкупното търсене в България, 2004-20</w:t>
      </w:r>
      <w:r w:rsidR="00586F53">
        <w:t>20</w:t>
      </w:r>
      <w:r w:rsidRPr="000C1396">
        <w:t xml:space="preserve"> (в % от БВП)</w:t>
      </w:r>
    </w:p>
    <w:p w:rsidR="00B57C1B" w:rsidRPr="000C1396" w:rsidRDefault="00B57C1B" w:rsidP="000C1396">
      <w:pPr>
        <w:spacing w:line="360" w:lineRule="auto"/>
        <w:ind w:left="-144" w:right="-144" w:firstLine="720"/>
        <w:jc w:val="both"/>
      </w:pPr>
    </w:p>
    <w:p w:rsidR="00DC7071" w:rsidRPr="001013F4" w:rsidRDefault="006508AD" w:rsidP="000C1396">
      <w:pPr>
        <w:spacing w:line="360" w:lineRule="auto"/>
        <w:ind w:left="-144" w:right="-144" w:firstLine="720"/>
        <w:jc w:val="both"/>
      </w:pPr>
      <w:proofErr w:type="gramStart"/>
      <w:r w:rsidRPr="007B5BCB">
        <w:t xml:space="preserve">Различни </w:t>
      </w:r>
      <w:r w:rsidR="00E92BCE" w:rsidRPr="000C1396">
        <w:t>изследвания</w:t>
      </w:r>
      <w:r w:rsidRPr="007B5BCB">
        <w:t xml:space="preserve"> показват, че </w:t>
      </w:r>
      <w:r w:rsidR="00E92BCE" w:rsidRPr="00824659">
        <w:t>за периода 2007-2013 г.</w:t>
      </w:r>
      <w:r w:rsidR="00E92BCE" w:rsidRPr="001013F4">
        <w:t xml:space="preserve"> </w:t>
      </w:r>
      <w:r w:rsidRPr="007B5BCB">
        <w:t>в</w:t>
      </w:r>
      <w:r w:rsidR="00BD25B2" w:rsidRPr="007B5BCB">
        <w:t xml:space="preserve"> </w:t>
      </w:r>
      <w:r w:rsidR="00DC7071" w:rsidRPr="00824659">
        <w:t xml:space="preserve">България </w:t>
      </w:r>
      <w:r w:rsidR="00DC7071" w:rsidRPr="001013F4">
        <w:t>от усвояването на европейските структурни фондове</w:t>
      </w:r>
      <w:r w:rsidR="00DC7071" w:rsidRPr="00824659">
        <w:t xml:space="preserve"> </w:t>
      </w:r>
      <w:r w:rsidRPr="007B5BCB">
        <w:t>може д</w:t>
      </w:r>
      <w:r w:rsidR="001E5452" w:rsidRPr="000C1396">
        <w:t>а</w:t>
      </w:r>
      <w:r w:rsidRPr="007B5BCB">
        <w:t xml:space="preserve"> се </w:t>
      </w:r>
      <w:r w:rsidR="00DC7071" w:rsidRPr="001013F4">
        <w:t>очаква</w:t>
      </w:r>
      <w:r w:rsidR="00DC7071" w:rsidRPr="00824659">
        <w:t xml:space="preserve"> допълнителен годишен икономически растеж </w:t>
      </w:r>
      <w:r w:rsidR="00DC7071" w:rsidRPr="001013F4">
        <w:t xml:space="preserve">в размер между </w:t>
      </w:r>
      <w:r w:rsidR="00DC7071">
        <w:t>0.3% -</w:t>
      </w:r>
      <w:r w:rsidR="00DC7071" w:rsidRPr="00802A49">
        <w:t xml:space="preserve"> 3</w:t>
      </w:r>
      <w:r w:rsidR="00DC7071" w:rsidRPr="001013F4">
        <w:t xml:space="preserve">% </w:t>
      </w:r>
      <w:r w:rsidR="00DC7071" w:rsidRPr="00802A49">
        <w:t xml:space="preserve">(Varga </w:t>
      </w:r>
      <w:r w:rsidR="00DC7071" w:rsidRPr="001013F4">
        <w:t>и</w:t>
      </w:r>
      <w:r w:rsidR="00DC7071">
        <w:t xml:space="preserve"> </w:t>
      </w:r>
      <w:r w:rsidR="00DC7071" w:rsidRPr="00802A49">
        <w:t>Veld, 2010</w:t>
      </w:r>
      <w:r w:rsidR="00E92BCE" w:rsidRPr="000C1396">
        <w:footnoteReference w:id="4"/>
      </w:r>
      <w:r w:rsidR="00D2784A" w:rsidRPr="000C1396">
        <w:t xml:space="preserve">; </w:t>
      </w:r>
      <w:r w:rsidR="00DC7071">
        <w:t>Paliova</w:t>
      </w:r>
      <w:r w:rsidR="00DC7071" w:rsidRPr="006F30EF">
        <w:t xml:space="preserve"> </w:t>
      </w:r>
      <w:r w:rsidR="00DC7071" w:rsidRPr="001013F4">
        <w:t>и</w:t>
      </w:r>
      <w:r w:rsidR="00DC7071" w:rsidRPr="006F30EF">
        <w:t xml:space="preserve"> </w:t>
      </w:r>
      <w:r w:rsidR="00DC7071">
        <w:t>Lybek</w:t>
      </w:r>
      <w:r w:rsidR="00DC7071" w:rsidRPr="001013F4">
        <w:t xml:space="preserve">, </w:t>
      </w:r>
      <w:r w:rsidR="00DC7071">
        <w:t>2014</w:t>
      </w:r>
      <w:r w:rsidR="0081123F" w:rsidRPr="000C1396">
        <w:footnoteReference w:id="5"/>
      </w:r>
      <w:r w:rsidR="00D2784A" w:rsidRPr="000C1396">
        <w:t>)</w:t>
      </w:r>
      <w:r w:rsidR="00DC7071" w:rsidRPr="00802A49">
        <w:t>.</w:t>
      </w:r>
      <w:proofErr w:type="gramEnd"/>
      <w:r w:rsidR="00DC7071" w:rsidRPr="00802A49">
        <w:t xml:space="preserve"> </w:t>
      </w:r>
      <w:r>
        <w:t xml:space="preserve">Иконометричният </w:t>
      </w:r>
      <w:r w:rsidRPr="0084392E">
        <w:t>м</w:t>
      </w:r>
      <w:r w:rsidRPr="00DE49DA">
        <w:t xml:space="preserve">одел </w:t>
      </w:r>
      <w:r>
        <w:t>С</w:t>
      </w:r>
      <w:r w:rsidRPr="00DE49DA">
        <w:t>ИБИЛА</w:t>
      </w:r>
      <w:r w:rsidR="000704D9" w:rsidRPr="000C1396">
        <w:footnoteReference w:id="6"/>
      </w:r>
      <w:r w:rsidRPr="00DE49DA">
        <w:t xml:space="preserve"> </w:t>
      </w:r>
      <w:r>
        <w:t xml:space="preserve">(2011) на българското правителство </w:t>
      </w:r>
      <w:r w:rsidRPr="0084392E">
        <w:t xml:space="preserve">за </w:t>
      </w:r>
      <w:r>
        <w:t xml:space="preserve">оценка </w:t>
      </w:r>
      <w:r w:rsidR="00317361" w:rsidRPr="000C1396">
        <w:t xml:space="preserve">на </w:t>
      </w:r>
      <w:r w:rsidRPr="0084392E">
        <w:t>в</w:t>
      </w:r>
      <w:r>
        <w:t xml:space="preserve">ъздействието на </w:t>
      </w:r>
      <w:r w:rsidR="00381005" w:rsidRPr="001013F4">
        <w:t>европейските структурни фондове</w:t>
      </w:r>
      <w:r>
        <w:t xml:space="preserve"> </w:t>
      </w:r>
      <w:r w:rsidRPr="0084392E">
        <w:t>върху икономическия растеж</w:t>
      </w:r>
      <w:r>
        <w:t xml:space="preserve"> </w:t>
      </w:r>
      <w:r>
        <w:lastRenderedPageBreak/>
        <w:t>предвижда</w:t>
      </w:r>
      <w:r w:rsidR="00381005" w:rsidRPr="000C1396">
        <w:t>,</w:t>
      </w:r>
      <w:r>
        <w:t xml:space="preserve"> </w:t>
      </w:r>
      <w:r w:rsidR="00381005">
        <w:t xml:space="preserve">в зависимост от степента на усвояването </w:t>
      </w:r>
      <w:r w:rsidR="00381005" w:rsidRPr="000C1396">
        <w:t xml:space="preserve">им </w:t>
      </w:r>
      <w:r>
        <w:t>за програмния период 2007-2013 г.</w:t>
      </w:r>
      <w:r w:rsidR="00381005" w:rsidRPr="000C1396">
        <w:t>,</w:t>
      </w:r>
      <w:r>
        <w:t xml:space="preserve"> </w:t>
      </w:r>
      <w:r w:rsidR="00381005">
        <w:t>въздействие</w:t>
      </w:r>
      <w:r w:rsidR="00317361" w:rsidRPr="000C1396">
        <w:t>то им</w:t>
      </w:r>
      <w:r w:rsidR="00381005">
        <w:t xml:space="preserve"> </w:t>
      </w:r>
      <w:r>
        <w:t>да бъде до 9% над базовия сценарий за целия период.</w:t>
      </w:r>
      <w:r w:rsidRPr="001013F4">
        <w:t xml:space="preserve"> </w:t>
      </w:r>
      <w:proofErr w:type="gramStart"/>
      <w:r w:rsidR="00DC7071" w:rsidRPr="00802A49">
        <w:t xml:space="preserve">Очевидно е, че </w:t>
      </w:r>
      <w:r w:rsidR="00BD25B2" w:rsidRPr="007B5BCB">
        <w:t>европейските структурни фондове</w:t>
      </w:r>
      <w:r w:rsidR="00DC7071" w:rsidRPr="00802A49">
        <w:t xml:space="preserve"> са </w:t>
      </w:r>
      <w:r w:rsidR="00DC7071" w:rsidRPr="001013F4">
        <w:t xml:space="preserve">изключителна </w:t>
      </w:r>
      <w:r w:rsidR="00DC7071" w:rsidRPr="00802A49">
        <w:t xml:space="preserve">възможност за </w:t>
      </w:r>
      <w:r w:rsidR="00DC7071" w:rsidRPr="001013F4">
        <w:t>българск</w:t>
      </w:r>
      <w:r w:rsidR="00D2784A" w:rsidRPr="000C1396">
        <w:t xml:space="preserve">ите </w:t>
      </w:r>
      <w:r w:rsidR="00DC7071" w:rsidRPr="001013F4">
        <w:t>правителств</w:t>
      </w:r>
      <w:r w:rsidR="00D2784A" w:rsidRPr="000C1396">
        <w:t>а</w:t>
      </w:r>
      <w:r w:rsidR="00DC7071" w:rsidRPr="00802A49">
        <w:t xml:space="preserve">, включително </w:t>
      </w:r>
      <w:r w:rsidR="00DC7071" w:rsidRPr="001013F4">
        <w:t xml:space="preserve">за </w:t>
      </w:r>
      <w:r w:rsidR="00DC7071" w:rsidRPr="00802A49">
        <w:t xml:space="preserve">облекчаване на първоначалните разходи по осъществяване на </w:t>
      </w:r>
      <w:r w:rsidR="00DC7071" w:rsidRPr="001013F4">
        <w:t xml:space="preserve">важни </w:t>
      </w:r>
      <w:r w:rsidR="00DC7071" w:rsidRPr="00802A49">
        <w:t xml:space="preserve">структурни реформи, </w:t>
      </w:r>
      <w:r w:rsidR="00DC7071" w:rsidRPr="001013F4">
        <w:t xml:space="preserve">с цел </w:t>
      </w:r>
      <w:r w:rsidR="00DC7071" w:rsidRPr="00802A49">
        <w:t>рестартира</w:t>
      </w:r>
      <w:r w:rsidR="00DC7071" w:rsidRPr="001013F4">
        <w:t>не на</w:t>
      </w:r>
      <w:r w:rsidR="00DC7071" w:rsidRPr="00802A49">
        <w:t xml:space="preserve"> двигателя на </w:t>
      </w:r>
      <w:r w:rsidR="00317361" w:rsidRPr="000C1396">
        <w:t xml:space="preserve">икономическия </w:t>
      </w:r>
      <w:r w:rsidR="00DC7071" w:rsidRPr="00802A49">
        <w:t>растеж (</w:t>
      </w:r>
      <w:r w:rsidR="00DC7071">
        <w:t xml:space="preserve">Mitra </w:t>
      </w:r>
      <w:r w:rsidR="00DC7071" w:rsidRPr="001013F4">
        <w:t>и</w:t>
      </w:r>
      <w:r w:rsidR="00DC7071" w:rsidRPr="00802A49">
        <w:t xml:space="preserve"> Pouvelle, 2012</w:t>
      </w:r>
      <w:r w:rsidR="00DC7071" w:rsidRPr="001013F4">
        <w:t xml:space="preserve">; </w:t>
      </w:r>
      <w:r w:rsidR="00DC7071">
        <w:t xml:space="preserve">Muir </w:t>
      </w:r>
      <w:r w:rsidR="00DC7071" w:rsidRPr="001013F4">
        <w:t>и</w:t>
      </w:r>
      <w:r w:rsidR="00DC7071">
        <w:t xml:space="preserve"> Weber, 2013</w:t>
      </w:r>
      <w:r w:rsidR="00DC7071" w:rsidRPr="001013F4">
        <w:t>;</w:t>
      </w:r>
      <w:r w:rsidR="00DC7071" w:rsidRPr="003E7479">
        <w:t xml:space="preserve"> </w:t>
      </w:r>
      <w:r w:rsidR="00DC7071">
        <w:t>Paliova</w:t>
      </w:r>
      <w:r w:rsidR="00DC7071" w:rsidRPr="006F30EF">
        <w:t xml:space="preserve"> </w:t>
      </w:r>
      <w:r w:rsidR="00DC7071" w:rsidRPr="001013F4">
        <w:t>и</w:t>
      </w:r>
      <w:r w:rsidR="00DC7071" w:rsidRPr="006F30EF">
        <w:t xml:space="preserve"> </w:t>
      </w:r>
      <w:r w:rsidR="00DC7071">
        <w:t>Lybek</w:t>
      </w:r>
      <w:r w:rsidR="00DC7071" w:rsidRPr="001013F4">
        <w:t xml:space="preserve">, </w:t>
      </w:r>
      <w:r w:rsidR="00DC7071">
        <w:t>2014</w:t>
      </w:r>
      <w:r w:rsidR="00DC7071" w:rsidRPr="00802A49">
        <w:t>).</w:t>
      </w:r>
      <w:proofErr w:type="gramEnd"/>
      <w:r w:rsidR="00DC7071" w:rsidRPr="001013F4">
        <w:t xml:space="preserve"> </w:t>
      </w:r>
    </w:p>
    <w:p w:rsidR="009769BE" w:rsidRPr="00F60D87" w:rsidRDefault="009769BE" w:rsidP="000C1396">
      <w:pPr>
        <w:spacing w:line="360" w:lineRule="auto"/>
        <w:ind w:left="-144" w:right="-144" w:firstLine="720"/>
        <w:jc w:val="both"/>
      </w:pPr>
      <w:proofErr w:type="gramStart"/>
      <w:r w:rsidRPr="00802A49">
        <w:t xml:space="preserve">През </w:t>
      </w:r>
      <w:r w:rsidRPr="00F60D87">
        <w:t>първият програмен период 2007-2013 г.</w:t>
      </w:r>
      <w:r w:rsidRPr="00802A49">
        <w:t xml:space="preserve"> </w:t>
      </w:r>
      <w:r w:rsidR="00D2784A" w:rsidRPr="000C1396">
        <w:t>бяха предприети</w:t>
      </w:r>
      <w:r w:rsidRPr="00F60D87">
        <w:t xml:space="preserve"> много</w:t>
      </w:r>
      <w:r w:rsidRPr="00802A49">
        <w:t xml:space="preserve"> </w:t>
      </w:r>
      <w:r w:rsidRPr="00F60D87">
        <w:t xml:space="preserve">допълнителни </w:t>
      </w:r>
      <w:r w:rsidRPr="00802A49">
        <w:t xml:space="preserve">стъпки </w:t>
      </w:r>
      <w:r w:rsidR="00D2784A" w:rsidRPr="000C1396">
        <w:t>за</w:t>
      </w:r>
      <w:r w:rsidRPr="00802A49">
        <w:t xml:space="preserve"> подобряване усвояване</w:t>
      </w:r>
      <w:r w:rsidRPr="00F60D87">
        <w:t>то</w:t>
      </w:r>
      <w:r w:rsidRPr="00802A49">
        <w:t xml:space="preserve"> на средствата от ЕС</w:t>
      </w:r>
      <w:r w:rsidRPr="00F60D87">
        <w:t>, което заедно с продобиването на практически опит от страна на публичната администрация за управление на европейските структурни фондове постепенно увеличи тяхното усвояване</w:t>
      </w:r>
      <w:r w:rsidR="00BD25B2" w:rsidRPr="007B5BCB">
        <w:t xml:space="preserve"> и създаде условия за плавен преход към следващия програмен период</w:t>
      </w:r>
      <w:r w:rsidRPr="00802A49">
        <w:t>.</w:t>
      </w:r>
      <w:proofErr w:type="gramEnd"/>
      <w:r w:rsidRPr="00802A49">
        <w:t xml:space="preserve"> Законът за обществените поръчки бе изменен </w:t>
      </w:r>
      <w:r w:rsidRPr="00F60D87">
        <w:t>неколкократно</w:t>
      </w:r>
      <w:r w:rsidRPr="00802A49">
        <w:t xml:space="preserve"> с оглед да се опрост</w:t>
      </w:r>
      <w:r w:rsidRPr="00F60D87">
        <w:t>ят</w:t>
      </w:r>
      <w:r w:rsidRPr="00802A49">
        <w:t xml:space="preserve"> и уеднакв</w:t>
      </w:r>
      <w:r w:rsidRPr="00F60D87">
        <w:t>ят</w:t>
      </w:r>
      <w:r w:rsidRPr="00802A49">
        <w:t xml:space="preserve"> тръжни</w:t>
      </w:r>
      <w:r w:rsidRPr="00F60D87">
        <w:t>те</w:t>
      </w:r>
      <w:r w:rsidRPr="00802A49">
        <w:t xml:space="preserve"> проце</w:t>
      </w:r>
      <w:r w:rsidRPr="00F60D87">
        <w:t>дури</w:t>
      </w:r>
      <w:r w:rsidRPr="00802A49">
        <w:t>, въве</w:t>
      </w:r>
      <w:r w:rsidRPr="00F60D87">
        <w:t>де се</w:t>
      </w:r>
      <w:r w:rsidRPr="00802A49">
        <w:t xml:space="preserve"> предварителен контрол върху документацията за участие за всички финансирани от ЕС проекти, и хармонизиране </w:t>
      </w:r>
      <w:r w:rsidRPr="00F60D87">
        <w:t xml:space="preserve">на </w:t>
      </w:r>
      <w:r w:rsidRPr="00802A49">
        <w:t>форми</w:t>
      </w:r>
      <w:r w:rsidRPr="00F60D87">
        <w:t>те</w:t>
      </w:r>
      <w:r w:rsidRPr="00802A49">
        <w:t xml:space="preserve"> за обществени поръчки.</w:t>
      </w:r>
      <w:r w:rsidRPr="00F60D87">
        <w:t xml:space="preserve"> </w:t>
      </w:r>
      <w:r w:rsidRPr="00802A49">
        <w:t xml:space="preserve">Освен това </w:t>
      </w:r>
      <w:r w:rsidRPr="00F60D87">
        <w:t xml:space="preserve">бе въведено </w:t>
      </w:r>
      <w:r w:rsidRPr="00802A49">
        <w:t xml:space="preserve">електронно кандидатстване и отчитане </w:t>
      </w:r>
      <w:r w:rsidRPr="00F60D87">
        <w:t>на</w:t>
      </w:r>
      <w:r w:rsidRPr="00802A49">
        <w:t xml:space="preserve"> средствата </w:t>
      </w:r>
      <w:r w:rsidRPr="00F60D87">
        <w:t xml:space="preserve">през </w:t>
      </w:r>
      <w:r w:rsidRPr="00802A49">
        <w:t>информаци</w:t>
      </w:r>
      <w:r>
        <w:t>онн</w:t>
      </w:r>
      <w:r w:rsidRPr="00F60D87">
        <w:t>ия</w:t>
      </w:r>
      <w:r>
        <w:t xml:space="preserve"> портал на ЕС; </w:t>
      </w:r>
      <w:r w:rsidRPr="00F60D87">
        <w:t xml:space="preserve">бяха създадени </w:t>
      </w:r>
      <w:r w:rsidRPr="00802A49">
        <w:t>един централен и 26 областни информационни центрове, за по</w:t>
      </w:r>
      <w:r w:rsidRPr="00F60D87">
        <w:t>дпомагане и</w:t>
      </w:r>
      <w:r w:rsidRPr="00802A49">
        <w:t xml:space="preserve"> преодоляване на пропуските в прилагането и процеса на изпълнение</w:t>
      </w:r>
      <w:r w:rsidRPr="00F60D87">
        <w:t xml:space="preserve"> на прое</w:t>
      </w:r>
      <w:r w:rsidR="00D2784A" w:rsidRPr="000C1396">
        <w:t>к</w:t>
      </w:r>
      <w:r w:rsidRPr="00F60D87">
        <w:t>тите</w:t>
      </w:r>
      <w:r w:rsidRPr="00802A49">
        <w:t>, особено на общинско ниво; подготовка</w:t>
      </w:r>
      <w:r w:rsidRPr="00F60D87">
        <w:t>та</w:t>
      </w:r>
      <w:r w:rsidRPr="00802A49">
        <w:t xml:space="preserve"> на големи инфраструктурни проекти за одобрение на ЕО б</w:t>
      </w:r>
      <w:r w:rsidRPr="00F60D87">
        <w:t>еше</w:t>
      </w:r>
      <w:r w:rsidRPr="00802A49">
        <w:t xml:space="preserve"> рационализиран</w:t>
      </w:r>
      <w:r w:rsidRPr="00F60D87">
        <w:t xml:space="preserve">а чрез </w:t>
      </w:r>
      <w:r w:rsidRPr="00802A49">
        <w:t xml:space="preserve">използване на експертен опит на международните финансови институции; </w:t>
      </w:r>
      <w:r w:rsidRPr="00F60D87">
        <w:t xml:space="preserve">насърчи </w:t>
      </w:r>
      <w:r w:rsidR="00D2784A" w:rsidRPr="000C1396">
        <w:t>се</w:t>
      </w:r>
      <w:r w:rsidRPr="00F60D87">
        <w:t xml:space="preserve"> </w:t>
      </w:r>
      <w:r w:rsidRPr="00802A49">
        <w:t>партньорство</w:t>
      </w:r>
      <w:r w:rsidRPr="00F60D87">
        <w:t>то</w:t>
      </w:r>
      <w:r w:rsidRPr="00802A49">
        <w:t xml:space="preserve"> с всички заинтересовани страни;  засили се ролята на банките в мониторинг</w:t>
      </w:r>
      <w:r w:rsidRPr="00F60D87">
        <w:t xml:space="preserve">а и финансовата </w:t>
      </w:r>
      <w:r w:rsidRPr="00802A49">
        <w:t xml:space="preserve">оценка </w:t>
      </w:r>
      <w:r w:rsidRPr="00F60D87">
        <w:t xml:space="preserve">на </w:t>
      </w:r>
      <w:r w:rsidRPr="00802A49">
        <w:t>проект</w:t>
      </w:r>
      <w:r w:rsidRPr="00F60D87">
        <w:t>ите</w:t>
      </w:r>
      <w:r w:rsidR="00D2784A" w:rsidRPr="000C1396">
        <w:t>,</w:t>
      </w:r>
      <w:r w:rsidRPr="00802A49">
        <w:t xml:space="preserve"> и </w:t>
      </w:r>
      <w:r w:rsidR="00D2784A" w:rsidRPr="000C1396">
        <w:t>чрез въвеждане на</w:t>
      </w:r>
      <w:r w:rsidRPr="00F60D87">
        <w:t xml:space="preserve"> </w:t>
      </w:r>
      <w:r w:rsidRPr="00802A49">
        <w:t>новаторски финансови инструменти.</w:t>
      </w:r>
      <w:r w:rsidRPr="00F60D87">
        <w:t xml:space="preserve"> </w:t>
      </w:r>
      <w:proofErr w:type="gramStart"/>
      <w:r w:rsidRPr="00F60D87">
        <w:t>В края н</w:t>
      </w:r>
      <w:r w:rsidR="00C26BB0" w:rsidRPr="00F60D87">
        <w:t>а</w:t>
      </w:r>
      <w:r w:rsidRPr="00F60D87">
        <w:t xml:space="preserve"> 2015 г. бе приет Закон за управление на средствата от европейските структурни и инвестиционни фондове.</w:t>
      </w:r>
      <w:proofErr w:type="gramEnd"/>
      <w:r w:rsidR="00C26BB0" w:rsidRPr="00F60D87">
        <w:t xml:space="preserve"> </w:t>
      </w:r>
      <w:r w:rsidR="00F51511" w:rsidRPr="00F60D87">
        <w:t xml:space="preserve">Усилията са </w:t>
      </w:r>
      <w:r w:rsidR="00F51511" w:rsidRPr="007B5BCB">
        <w:t xml:space="preserve">все повече </w:t>
      </w:r>
      <w:r w:rsidR="00F51511" w:rsidRPr="00F60D87">
        <w:t>насочени към</w:t>
      </w:r>
      <w:r w:rsidR="00F51511" w:rsidRPr="007B5BCB">
        <w:t xml:space="preserve"> </w:t>
      </w:r>
      <w:r w:rsidR="00F51511" w:rsidRPr="00F60D87">
        <w:t>а</w:t>
      </w:r>
      <w:r w:rsidR="00F51511" w:rsidRPr="0083239A">
        <w:t>декватна</w:t>
      </w:r>
      <w:r w:rsidR="00F51511" w:rsidRPr="00F60D87">
        <w:t>та</w:t>
      </w:r>
      <w:r w:rsidR="00F51511" w:rsidRPr="0083239A">
        <w:t xml:space="preserve"> социална норма на възвръщаемост от проектите, финансирани със средствата на ЕС</w:t>
      </w:r>
      <w:r w:rsidR="00F51511" w:rsidRPr="000C1396">
        <w:t>, по-ранната подготовка на проектите за текущия програмен период 2014-2020 г., адаптиране на нов подход към опретативната програма за регионите за избягване коцентрирането на средствата в големите градове</w:t>
      </w:r>
      <w:r w:rsidR="00F51511" w:rsidRPr="00F60D87">
        <w:t xml:space="preserve">.  </w:t>
      </w:r>
    </w:p>
    <w:p w:rsidR="00BA7F83" w:rsidRPr="007B5BCB" w:rsidRDefault="00FB1DD4" w:rsidP="000C1396">
      <w:pPr>
        <w:spacing w:line="360" w:lineRule="auto"/>
        <w:ind w:left="-144" w:right="-144" w:firstLine="720"/>
        <w:jc w:val="both"/>
      </w:pPr>
      <w:proofErr w:type="gramStart"/>
      <w:r w:rsidRPr="007B5BCB">
        <w:t>В заключение, у</w:t>
      </w:r>
      <w:r w:rsidR="00D44F87" w:rsidRPr="00F60D87">
        <w:t>свояването на е</w:t>
      </w:r>
      <w:r w:rsidR="0083239A" w:rsidRPr="0083239A">
        <w:t>вропейските структурни фондове в България и останалите страни от Ц</w:t>
      </w:r>
      <w:r w:rsidR="00F51511" w:rsidRPr="000C1396">
        <w:t>ИЕ</w:t>
      </w:r>
      <w:r w:rsidR="0083239A" w:rsidRPr="0083239A">
        <w:t xml:space="preserve"> </w:t>
      </w:r>
      <w:r w:rsidR="00D44F87" w:rsidRPr="00F60D87">
        <w:t>доказват своята приложимост като важен</w:t>
      </w:r>
      <w:r w:rsidR="0083239A" w:rsidRPr="0083239A">
        <w:t xml:space="preserve"> инструмент </w:t>
      </w:r>
      <w:r w:rsidR="00EE51C2" w:rsidRPr="000C1396">
        <w:t xml:space="preserve">в процеса </w:t>
      </w:r>
      <w:r w:rsidR="00F51511" w:rsidRPr="000C1396">
        <w:t xml:space="preserve">на </w:t>
      </w:r>
      <w:r w:rsidR="0039049E" w:rsidRPr="00F60D87">
        <w:t xml:space="preserve">конвергенция </w:t>
      </w:r>
      <w:r w:rsidR="00EE51C2" w:rsidRPr="000C1396">
        <w:t>на новите страни-членки с</w:t>
      </w:r>
      <w:r w:rsidR="0039049E" w:rsidRPr="00F60D87">
        <w:t xml:space="preserve"> европейските стандарти</w:t>
      </w:r>
      <w:r w:rsidR="0083239A" w:rsidRPr="0083239A">
        <w:t>.</w:t>
      </w:r>
      <w:proofErr w:type="gramEnd"/>
      <w:r w:rsidR="0083239A" w:rsidRPr="0083239A">
        <w:t xml:space="preserve"> Използването на средствата на ЕС като </w:t>
      </w:r>
      <w:r w:rsidR="00E1315E" w:rsidRPr="00F60D87">
        <w:t xml:space="preserve">фискален стимул </w:t>
      </w:r>
      <w:r w:rsidR="0083239A" w:rsidRPr="0083239A">
        <w:t xml:space="preserve">за съвкупното търсенето и за </w:t>
      </w:r>
      <w:r w:rsidR="0039049E" w:rsidRPr="00F60D87">
        <w:t xml:space="preserve">осигуряване на </w:t>
      </w:r>
      <w:r w:rsidR="0039049E" w:rsidRPr="00F60D87">
        <w:lastRenderedPageBreak/>
        <w:t>дългосрочен</w:t>
      </w:r>
      <w:r w:rsidR="0083239A" w:rsidRPr="0083239A">
        <w:t xml:space="preserve"> </w:t>
      </w:r>
      <w:r w:rsidR="0039049E" w:rsidRPr="00F60D87">
        <w:t>икономически</w:t>
      </w:r>
      <w:r w:rsidR="0083239A" w:rsidRPr="0083239A">
        <w:t xml:space="preserve"> растеж</w:t>
      </w:r>
      <w:r w:rsidR="00084523" w:rsidRPr="007B5BCB">
        <w:t xml:space="preserve"> обаче </w:t>
      </w:r>
      <w:r w:rsidR="0083239A" w:rsidRPr="0083239A">
        <w:t>изисква добри практики за управление на публичните финанси и усвояването на средствата от ЕС</w:t>
      </w:r>
      <w:r w:rsidR="0039049E" w:rsidRPr="00F60D87">
        <w:t xml:space="preserve">, </w:t>
      </w:r>
      <w:r w:rsidR="00E1315E" w:rsidRPr="00F60D87">
        <w:t xml:space="preserve">при спазване на </w:t>
      </w:r>
      <w:r w:rsidR="00C26BB0" w:rsidRPr="00F60D87">
        <w:t xml:space="preserve">европейските изсисквания за </w:t>
      </w:r>
      <w:r w:rsidR="00E1315E" w:rsidRPr="00F60D87">
        <w:t xml:space="preserve">фискални правила </w:t>
      </w:r>
      <w:r w:rsidR="00E1315E">
        <w:t>в подкрепа на макроикономическата и финансова стабилност</w:t>
      </w:r>
      <w:r w:rsidR="0083239A" w:rsidRPr="0083239A">
        <w:t xml:space="preserve">. </w:t>
      </w:r>
    </w:p>
    <w:p w:rsidR="005E3613" w:rsidRPr="007B5BCB" w:rsidRDefault="005E3613" w:rsidP="000C1396">
      <w:pPr>
        <w:spacing w:line="360" w:lineRule="auto"/>
        <w:ind w:left="-144" w:right="-144" w:firstLine="720"/>
        <w:jc w:val="both"/>
      </w:pPr>
    </w:p>
    <w:p w:rsidR="001B3DFC" w:rsidRPr="000C1396" w:rsidRDefault="001B3DFC" w:rsidP="000C1396">
      <w:pPr>
        <w:spacing w:line="360" w:lineRule="auto"/>
        <w:ind w:left="-144" w:right="-144" w:firstLine="720"/>
        <w:jc w:val="both"/>
        <w:rPr>
          <w:b/>
        </w:rPr>
      </w:pPr>
      <w:r w:rsidRPr="000C1396">
        <w:rPr>
          <w:b/>
        </w:rPr>
        <w:t>Използвана литература</w:t>
      </w:r>
    </w:p>
    <w:p w:rsidR="001B3DFC" w:rsidRPr="000C1396" w:rsidRDefault="004C5ECE" w:rsidP="000C1396">
      <w:pPr>
        <w:spacing w:line="240" w:lineRule="auto"/>
        <w:ind w:left="-144" w:right="-144" w:firstLine="720"/>
        <w:jc w:val="both"/>
      </w:pPr>
      <w:hyperlink r:id="rId15" w:history="1">
        <w:r w:rsidR="001B3DFC" w:rsidRPr="006E2E3F">
          <w:t>Bradford De Long</w:t>
        </w:r>
      </w:hyperlink>
      <w:r w:rsidR="001B3DFC">
        <w:t xml:space="preserve"> J.</w:t>
      </w:r>
      <w:r w:rsidR="001B3DFC" w:rsidRPr="006E2E3F">
        <w:t xml:space="preserve">, </w:t>
      </w:r>
      <w:hyperlink r:id="rId16" w:history="1">
        <w:r w:rsidR="001B3DFC" w:rsidRPr="006E2E3F">
          <w:t>Barry J. Eichengreen</w:t>
        </w:r>
      </w:hyperlink>
      <w:r w:rsidR="001B3DFC" w:rsidRPr="006E2E3F">
        <w:t xml:space="preserve">, 1991, “The Marshall Plan: History's Most Successful Structural Adjustment Program”, </w:t>
      </w:r>
      <w:hyperlink r:id="rId17" w:history="1">
        <w:r w:rsidR="001B3DFC" w:rsidRPr="006E2E3F">
          <w:t>National Bureau of Economic Research</w:t>
        </w:r>
      </w:hyperlink>
      <w:r w:rsidR="001B3DFC" w:rsidRPr="006E2E3F">
        <w:t>, WP 3899</w:t>
      </w:r>
    </w:p>
    <w:p w:rsidR="001B3DFC" w:rsidRPr="000C1396" w:rsidRDefault="001B3DFC" w:rsidP="000C1396">
      <w:pPr>
        <w:spacing w:line="240" w:lineRule="auto"/>
        <w:ind w:left="-144" w:right="-144" w:firstLine="720"/>
        <w:jc w:val="both"/>
      </w:pPr>
    </w:p>
    <w:p w:rsidR="007C7DED" w:rsidRPr="000C1396" w:rsidRDefault="007C7DED" w:rsidP="000C1396">
      <w:pPr>
        <w:spacing w:line="240" w:lineRule="auto"/>
        <w:ind w:left="-144" w:right="-144" w:firstLine="720"/>
        <w:jc w:val="both"/>
      </w:pPr>
      <w:r w:rsidRPr="006E2E3F">
        <w:t>Bradley J., Fitzgerald J., 1988, Industrial Output and Factor Input determination in an Econometric Model of a Small Open Economy”, European Economic Review, 32, pp. 1227-41</w:t>
      </w:r>
    </w:p>
    <w:p w:rsidR="007C7DED" w:rsidRDefault="007C7DED" w:rsidP="000C1396">
      <w:pPr>
        <w:spacing w:line="240" w:lineRule="auto"/>
        <w:ind w:left="-144" w:right="-144" w:firstLine="720"/>
        <w:jc w:val="both"/>
      </w:pPr>
    </w:p>
    <w:p w:rsidR="00325504" w:rsidRPr="00FE5311" w:rsidRDefault="00325504" w:rsidP="000C1396">
      <w:pPr>
        <w:spacing w:line="240" w:lineRule="auto"/>
        <w:ind w:left="-144" w:right="-144" w:firstLine="720"/>
        <w:jc w:val="both"/>
      </w:pPr>
      <w:r w:rsidRPr="000C1396">
        <w:t>Bradley</w:t>
      </w:r>
      <w:r w:rsidRPr="00FE5311">
        <w:t xml:space="preserve">, J., </w:t>
      </w:r>
      <w:r w:rsidRPr="000C1396">
        <w:t>Herce</w:t>
      </w:r>
      <w:r w:rsidRPr="00FE5311">
        <w:t xml:space="preserve">, J. A., &amp; </w:t>
      </w:r>
      <w:r w:rsidRPr="000C1396">
        <w:t>Modesto</w:t>
      </w:r>
      <w:r w:rsidRPr="00FE5311">
        <w:t>, L.</w:t>
      </w:r>
      <w:r w:rsidRPr="000C1396">
        <w:t>, 1995, „</w:t>
      </w:r>
      <w:r w:rsidRPr="00FE5311">
        <w:t>The macroeconomic effects of the CSF 1994–99 in the EU periphery: An analysis based on the HERMIN model</w:t>
      </w:r>
      <w:r w:rsidRPr="000C1396">
        <w:t xml:space="preserve">”, </w:t>
      </w:r>
      <w:r>
        <w:t>Economic Modelling, 12, 323-333</w:t>
      </w:r>
    </w:p>
    <w:p w:rsidR="00325504" w:rsidRDefault="00325504" w:rsidP="000C1396">
      <w:pPr>
        <w:spacing w:line="240" w:lineRule="auto"/>
        <w:ind w:left="-144" w:right="-144" w:firstLine="720"/>
        <w:jc w:val="both"/>
      </w:pPr>
    </w:p>
    <w:p w:rsidR="001B3DFC" w:rsidRPr="007A60BB" w:rsidRDefault="001B3DFC" w:rsidP="000C1396">
      <w:pPr>
        <w:spacing w:line="240" w:lineRule="auto"/>
        <w:ind w:left="-144" w:right="-144" w:firstLine="720"/>
        <w:jc w:val="both"/>
      </w:pPr>
      <w:proofErr w:type="gramStart"/>
      <w:r w:rsidRPr="007A60BB">
        <w:t>Ederveen, S., de Groot H.L.F., and Nahuis, R., 2002, “Fertile Soil for Structural Funds?</w:t>
      </w:r>
      <w:proofErr w:type="gramEnd"/>
      <w:r w:rsidRPr="007A60BB">
        <w:t xml:space="preserve"> A Panel Data Analysis of the Conditional Effectiveness of European Cohesion Policy”, Issue 10 of CPB Netherlands Bureau of Economic Policy Analysis</w:t>
      </w:r>
    </w:p>
    <w:p w:rsidR="001B3DFC" w:rsidRDefault="001B3DFC" w:rsidP="000C1396">
      <w:pPr>
        <w:spacing w:line="240" w:lineRule="auto"/>
        <w:ind w:left="-144" w:right="-144" w:firstLine="720"/>
        <w:jc w:val="both"/>
      </w:pPr>
    </w:p>
    <w:p w:rsidR="001B3DFC" w:rsidRDefault="001B3DFC" w:rsidP="000C1396">
      <w:pPr>
        <w:spacing w:line="240" w:lineRule="auto"/>
        <w:ind w:left="-144" w:right="-144" w:firstLine="720"/>
        <w:jc w:val="both"/>
      </w:pPr>
      <w:r w:rsidRPr="00687387">
        <w:t>KPMG</w:t>
      </w:r>
      <w:r>
        <w:t>, 201</w:t>
      </w:r>
      <w:r w:rsidR="00DB5797">
        <w:t>6</w:t>
      </w:r>
      <w:r>
        <w:t>, “</w:t>
      </w:r>
      <w:r w:rsidRPr="00F52601">
        <w:t>EU Funds in Central and Eastern Europe – Progress repo</w:t>
      </w:r>
      <w:r>
        <w:t xml:space="preserve">rt </w:t>
      </w:r>
      <w:r>
        <w:br/>
        <w:t>2007–</w:t>
      </w:r>
      <w:r w:rsidRPr="00F52601">
        <w:t>201</w:t>
      </w:r>
      <w:r w:rsidR="00DB5797">
        <w:t>5</w:t>
      </w:r>
      <w:r>
        <w:t>”</w:t>
      </w:r>
    </w:p>
    <w:p w:rsidR="001B3DFC" w:rsidRDefault="001B3DFC" w:rsidP="000C1396">
      <w:pPr>
        <w:spacing w:line="240" w:lineRule="auto"/>
        <w:ind w:left="-144" w:right="-144" w:firstLine="720"/>
        <w:jc w:val="both"/>
      </w:pPr>
    </w:p>
    <w:p w:rsidR="001B3DFC" w:rsidRPr="000D498C" w:rsidRDefault="001B3DFC" w:rsidP="000C1396">
      <w:pPr>
        <w:spacing w:line="240" w:lineRule="auto"/>
        <w:ind w:left="-144" w:right="-144" w:firstLine="720"/>
        <w:jc w:val="both"/>
      </w:pPr>
      <w:r w:rsidRPr="000D498C">
        <w:t>Mitra, Pritha and Cyril Pouvelle, 2012, “Productivity Growth and Structural Reform in Bulgaria: Restarting the Convergence Engine”, IMF Working Paper WP/12/131, International Monetary Fund, Washington DC.</w:t>
      </w:r>
    </w:p>
    <w:p w:rsidR="001B3DFC" w:rsidRPr="000C1396" w:rsidRDefault="001B3DFC" w:rsidP="000C1396">
      <w:pPr>
        <w:spacing w:line="240" w:lineRule="auto"/>
        <w:ind w:left="-144" w:right="-144" w:firstLine="720"/>
        <w:jc w:val="both"/>
      </w:pPr>
    </w:p>
    <w:p w:rsidR="001B3DFC" w:rsidRPr="00B422A5" w:rsidRDefault="001B3DFC" w:rsidP="000C1396">
      <w:pPr>
        <w:spacing w:line="240" w:lineRule="auto"/>
        <w:ind w:left="-144" w:right="-144" w:firstLine="720"/>
        <w:jc w:val="both"/>
      </w:pPr>
      <w:r w:rsidRPr="00264F49">
        <w:t>Paliova</w:t>
      </w:r>
      <w:r w:rsidRPr="00B422A5">
        <w:t xml:space="preserve"> I. and </w:t>
      </w:r>
      <w:r w:rsidRPr="00264F49">
        <w:t xml:space="preserve">Lybek </w:t>
      </w:r>
      <w:r w:rsidRPr="00B422A5">
        <w:t>T</w:t>
      </w:r>
      <w:r>
        <w:t>.</w:t>
      </w:r>
      <w:r w:rsidRPr="00B422A5">
        <w:t xml:space="preserve">, </w:t>
      </w:r>
      <w:r>
        <w:t xml:space="preserve">2014, </w:t>
      </w:r>
      <w:r w:rsidRPr="00B422A5">
        <w:t>Bulgaria's EU Funds Absorption: Maximizing the Potential!</w:t>
      </w:r>
      <w:proofErr w:type="gramStart"/>
      <w:r>
        <w:t>,</w:t>
      </w:r>
      <w:r w:rsidRPr="00B422A5">
        <w:t xml:space="preserve">  IMF</w:t>
      </w:r>
      <w:proofErr w:type="gramEnd"/>
      <w:r w:rsidRPr="00B422A5">
        <w:t xml:space="preserve"> Working Paper No. 14/21.</w:t>
      </w:r>
    </w:p>
    <w:p w:rsidR="001B3DFC" w:rsidRPr="000C1396" w:rsidRDefault="001B3DFC" w:rsidP="000C1396">
      <w:pPr>
        <w:spacing w:line="240" w:lineRule="auto"/>
        <w:ind w:left="-144" w:right="-144" w:firstLine="720"/>
        <w:jc w:val="both"/>
      </w:pPr>
    </w:p>
    <w:p w:rsidR="001B3DFC" w:rsidRDefault="001B3DFC" w:rsidP="000C1396">
      <w:pPr>
        <w:spacing w:line="240" w:lineRule="auto"/>
        <w:ind w:left="-144" w:right="-144" w:firstLine="720"/>
        <w:jc w:val="both"/>
      </w:pPr>
      <w:proofErr w:type="gramStart"/>
      <w:r w:rsidRPr="006B0B61">
        <w:t>Rosenberg</w:t>
      </w:r>
      <w:r w:rsidRPr="000C1396">
        <w:t xml:space="preserve"> </w:t>
      </w:r>
      <w:r w:rsidRPr="006B0B61">
        <w:t>Ch</w:t>
      </w:r>
      <w:r w:rsidRPr="000C1396">
        <w:t>.</w:t>
      </w:r>
      <w:r w:rsidRPr="006B0B61">
        <w:t>and Sierhej</w:t>
      </w:r>
      <w:r w:rsidRPr="000C1396">
        <w:t xml:space="preserve"> </w:t>
      </w:r>
      <w:r>
        <w:t>R</w:t>
      </w:r>
      <w:r w:rsidRPr="006B0B61">
        <w:t>, 2007, “Interpreting EU Funds Data for Macroeconomic Analysis in the New Member States”, IMF Working Paper WP/07/77, International Monetary Fund, Washington DC.</w:t>
      </w:r>
      <w:proofErr w:type="gramEnd"/>
      <w:r w:rsidRPr="006B0B61">
        <w:t xml:space="preserve"> </w:t>
      </w:r>
    </w:p>
    <w:p w:rsidR="00BE00AA" w:rsidRDefault="00BE00AA" w:rsidP="000C1396">
      <w:pPr>
        <w:spacing w:line="240" w:lineRule="auto"/>
        <w:ind w:left="-144" w:right="-144" w:firstLine="720"/>
        <w:jc w:val="both"/>
      </w:pPr>
    </w:p>
    <w:p w:rsidR="001B3DFC" w:rsidRPr="0061778E" w:rsidRDefault="001B3DFC" w:rsidP="000C1396">
      <w:pPr>
        <w:spacing w:line="240" w:lineRule="auto"/>
        <w:ind w:left="-144" w:right="-144" w:firstLine="720"/>
        <w:jc w:val="both"/>
      </w:pPr>
      <w:r w:rsidRPr="006E2E3F">
        <w:t xml:space="preserve">Varga, J., </w:t>
      </w:r>
      <w:proofErr w:type="gramStart"/>
      <w:r w:rsidRPr="006E2E3F">
        <w:t>in ’t</w:t>
      </w:r>
      <w:proofErr w:type="gramEnd"/>
      <w:r w:rsidRPr="006E2E3F">
        <w:t xml:space="preserve"> Veld, 2010, “The Potential Impact of EU Cohesion Spending in the 2007–13 Programming Period: A Model-Based Analysis”, European Econ</w:t>
      </w:r>
      <w:r w:rsidRPr="0061778E">
        <w:t>omy Economic Paper, No. 422, Brussels</w:t>
      </w:r>
    </w:p>
    <w:p w:rsidR="001B3DFC" w:rsidRPr="000C1396" w:rsidRDefault="001B3DFC" w:rsidP="000C1396">
      <w:pPr>
        <w:spacing w:line="240" w:lineRule="auto"/>
        <w:ind w:left="-144" w:right="-144" w:firstLine="720"/>
        <w:jc w:val="both"/>
      </w:pPr>
    </w:p>
    <w:p w:rsidR="001B3DFC" w:rsidRPr="000C1396" w:rsidRDefault="001B3DFC" w:rsidP="000C1396">
      <w:pPr>
        <w:spacing w:line="240" w:lineRule="auto"/>
        <w:ind w:left="-144" w:right="-144" w:firstLine="720"/>
        <w:jc w:val="both"/>
      </w:pPr>
      <w:r w:rsidRPr="000D498C">
        <w:t>Weber, Anke and Dirk Muir, 2012, “Making the Fiscal Framework and Policy More Supportive of Growth”, Bulgaria—Staff Report for the 2012 Article IV Consultation, International Monetary Fund, Washington DC.</w:t>
      </w:r>
    </w:p>
    <w:p w:rsidR="005E3613" w:rsidRPr="007B5BCB" w:rsidRDefault="005E3613" w:rsidP="000C1396">
      <w:pPr>
        <w:spacing w:line="240" w:lineRule="auto"/>
        <w:ind w:left="-144" w:right="-144" w:firstLine="720"/>
        <w:jc w:val="both"/>
      </w:pPr>
    </w:p>
    <w:sectPr w:rsidR="005E3613" w:rsidRPr="007B5BCB" w:rsidSect="005F5BF8">
      <w:headerReference w:type="default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A5C" w:rsidRDefault="000D6A5C">
      <w:r>
        <w:separator/>
      </w:r>
    </w:p>
  </w:endnote>
  <w:endnote w:type="continuationSeparator" w:id="0">
    <w:p w:rsidR="000D6A5C" w:rsidRDefault="000D6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107308"/>
      <w:docPartObj>
        <w:docPartGallery w:val="Page Numbers (Bottom of Page)"/>
        <w:docPartUnique/>
      </w:docPartObj>
    </w:sdtPr>
    <w:sdtContent>
      <w:p w:rsidR="007A42DF" w:rsidRDefault="004C5ECE">
        <w:pPr>
          <w:pStyle w:val="Footer"/>
          <w:jc w:val="center"/>
        </w:pPr>
        <w:fldSimple w:instr=" PAGE   \* MERGEFORMAT ">
          <w:r w:rsidR="00961424">
            <w:rPr>
              <w:noProof/>
            </w:rPr>
            <w:t>2</w:t>
          </w:r>
        </w:fldSimple>
      </w:p>
    </w:sdtContent>
  </w:sdt>
  <w:p w:rsidR="00A16F85" w:rsidRDefault="00A16F85">
    <w:pPr>
      <w:pStyle w:val="Footer"/>
      <w:tabs>
        <w:tab w:val="clear" w:pos="8640"/>
        <w:tab w:val="right" w:pos="900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107309"/>
      <w:docPartObj>
        <w:docPartGallery w:val="Page Numbers (Bottom of Page)"/>
        <w:docPartUnique/>
      </w:docPartObj>
    </w:sdtPr>
    <w:sdtContent>
      <w:p w:rsidR="007A42DF" w:rsidRDefault="004C5ECE">
        <w:pPr>
          <w:pStyle w:val="Footer"/>
          <w:jc w:val="center"/>
        </w:pPr>
        <w:fldSimple w:instr=" PAGE   \* MERGEFORMAT ">
          <w:r w:rsidR="006C3B31">
            <w:rPr>
              <w:noProof/>
            </w:rPr>
            <w:t>1</w:t>
          </w:r>
        </w:fldSimple>
      </w:p>
    </w:sdtContent>
  </w:sdt>
  <w:p w:rsidR="00A16F85" w:rsidRDefault="00A16F85">
    <w:pPr>
      <w:pStyle w:val="Footer"/>
      <w:tabs>
        <w:tab w:val="clear" w:pos="8640"/>
        <w:tab w:val="right" w:pos="90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A5C" w:rsidRDefault="000D6A5C">
      <w:r>
        <w:separator/>
      </w:r>
    </w:p>
  </w:footnote>
  <w:footnote w:type="continuationSeparator" w:id="0">
    <w:p w:rsidR="000D6A5C" w:rsidRDefault="000D6A5C">
      <w:r>
        <w:continuationSeparator/>
      </w:r>
    </w:p>
  </w:footnote>
  <w:footnote w:type="continuationNotice" w:id="1">
    <w:p w:rsidR="000D6A5C" w:rsidRDefault="000D6A5C">
      <w:pPr>
        <w:jc w:val="right"/>
      </w:pPr>
      <w:r>
        <w:t>(</w:t>
      </w:r>
      <w:proofErr w:type="gramStart"/>
      <w:r>
        <w:t>continued</w:t>
      </w:r>
      <w:proofErr w:type="gramEnd"/>
      <w:r>
        <w:t>)</w:t>
      </w:r>
    </w:p>
  </w:footnote>
  <w:footnote w:id="2">
    <w:p w:rsidR="00BA0504" w:rsidRPr="006C3B31" w:rsidRDefault="00BA050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ФАР основно финансира изграждане на административен капацитет, инвестиционни проекти за трансгранично сътрудничество, и икономическа и социална кохезия, които не се покриват от ИСПА и САПАРД. ИСПА подкрепя големи инвестиционни проекти в транспорта и околната среда. САПАРД подкрепя програми в областта на селското стопанство и</w:t>
      </w:r>
      <w:r w:rsidR="006C3B31">
        <w:rPr>
          <w:lang w:val="bg-BG"/>
        </w:rPr>
        <w:t xml:space="preserve"> развитието на селските райони.</w:t>
      </w:r>
    </w:p>
  </w:footnote>
  <w:footnote w:id="3">
    <w:p w:rsidR="00D44AAB" w:rsidRPr="00AE4CA2" w:rsidRDefault="00D44AAB" w:rsidP="00D44AAB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AE4CA2">
        <w:t xml:space="preserve">Страните от ЦИЕ, които получиха такава международна </w:t>
      </w:r>
      <w:r>
        <w:t xml:space="preserve">помощ от Европейската комисия и </w:t>
      </w:r>
      <w:r w:rsidRPr="00AE4CA2">
        <w:t>Международния валутен фонд са Унгария, Румъния и Латвия: http://ec.europa.eu/economy_finance/assistance_eu_ms/latvia/index_en.htm</w:t>
      </w:r>
    </w:p>
    <w:p w:rsidR="00D44AAB" w:rsidRDefault="00D44AAB">
      <w:pPr>
        <w:pStyle w:val="FootnoteText"/>
      </w:pPr>
    </w:p>
  </w:footnote>
  <w:footnote w:id="4">
    <w:p w:rsidR="00E92BCE" w:rsidRPr="00E92BCE" w:rsidRDefault="00E92BCE" w:rsidP="00E92BCE">
      <w:pPr>
        <w:pStyle w:val="FootnoteText"/>
        <w:spacing w:after="0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Оценките са базирани на модела на Европейсктата комисия </w:t>
      </w:r>
      <w:r>
        <w:t xml:space="preserve">QUEST III. </w:t>
      </w:r>
    </w:p>
  </w:footnote>
  <w:footnote w:id="5">
    <w:p w:rsidR="0081123F" w:rsidRPr="0081123F" w:rsidRDefault="0081123F" w:rsidP="0081123F">
      <w:pPr>
        <w:pStyle w:val="FootnoteText"/>
        <w:spacing w:after="0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Оценките са базирани на макроикономическия модел</w:t>
      </w:r>
      <w:r w:rsidRPr="009E1ADF">
        <w:t xml:space="preserve"> </w:t>
      </w:r>
      <w:r>
        <w:t>Global Integrated Monetary and Fiscal Model (GIMF)</w:t>
      </w:r>
      <w:r>
        <w:rPr>
          <w:lang w:val="bg-BG"/>
        </w:rPr>
        <w:t xml:space="preserve"> на МВФ.</w:t>
      </w:r>
    </w:p>
  </w:footnote>
  <w:footnote w:id="6">
    <w:p w:rsidR="000704D9" w:rsidRPr="00FB394C" w:rsidRDefault="000704D9" w:rsidP="000704D9">
      <w:pPr>
        <w:pStyle w:val="FootnoteText"/>
        <w:spacing w:after="0"/>
        <w:rPr>
          <w:lang w:val="bg-BG"/>
        </w:rPr>
      </w:pPr>
      <w:r>
        <w:rPr>
          <w:rStyle w:val="FootnoteReference"/>
        </w:rPr>
        <w:footnoteRef/>
      </w:r>
      <w:r>
        <w:t xml:space="preserve"> Моделът е р</w:t>
      </w:r>
      <w:r w:rsidRPr="00AE7BF4">
        <w:t>азработен по европейски проект № 0018-ЦИО-3.2 “Развитие на модел за оценка на въздействието на СКФ”, финансиран от Оперативна програма „Техническа</w:t>
      </w:r>
      <w:r>
        <w:t xml:space="preserve"> </w:t>
      </w:r>
      <w:proofErr w:type="gramStart"/>
      <w:r>
        <w:t xml:space="preserve">помощ </w:t>
      </w:r>
      <w:r w:rsidRPr="00AE7BF4">
        <w:t>”</w:t>
      </w:r>
      <w:proofErr w:type="gramEnd"/>
      <w:r>
        <w:rPr>
          <w:lang w:val="bg-BG"/>
        </w:rPr>
        <w:t>.</w:t>
      </w:r>
      <w:r>
        <w:t xml:space="preserve"> </w:t>
      </w:r>
      <w:hyperlink r:id="rId1" w:history="1">
        <w:r w:rsidRPr="00E632DD">
          <w:rPr>
            <w:rStyle w:val="Hyperlink"/>
          </w:rPr>
          <w:t>http://www.eufunds.bg/en/page/23</w:t>
        </w:r>
      </w:hyperlink>
    </w:p>
    <w:p w:rsidR="000704D9" w:rsidRPr="000704D9" w:rsidRDefault="000704D9">
      <w:pPr>
        <w:pStyle w:val="FootnoteText"/>
        <w:rPr>
          <w:lang w:val="bg-BG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85" w:rsidRDefault="00A16F85">
    <w:pPr>
      <w:pStyle w:val="Header"/>
      <w:jc w:val="center"/>
    </w:pPr>
  </w:p>
  <w:p w:rsidR="00A16F85" w:rsidRDefault="00A16F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F85" w:rsidRPr="00246060" w:rsidRDefault="00A16F85" w:rsidP="00246060">
    <w:pPr>
      <w:pStyle w:val="Header"/>
      <w:tabs>
        <w:tab w:val="clear" w:pos="4320"/>
        <w:tab w:val="clear" w:pos="8640"/>
        <w:tab w:val="right" w:pos="9000"/>
      </w:tabs>
      <w:rPr>
        <w:sz w:val="22"/>
      </w:rPr>
    </w:pPr>
    <w:r>
      <w:rPr>
        <w:sz w:val="22"/>
      </w:rPr>
      <w:tab/>
    </w:r>
  </w:p>
  <w:p w:rsidR="00A16F85" w:rsidRDefault="00A16F85">
    <w:pPr>
      <w:pStyle w:val="Header"/>
      <w:tabs>
        <w:tab w:val="clear" w:pos="8640"/>
        <w:tab w:val="right" w:pos="90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E443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D5C17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C32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092F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F9E49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72F90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C684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7622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906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4D488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0773775B"/>
    <w:multiLevelType w:val="hybridMultilevel"/>
    <w:tmpl w:val="56709E74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A4149"/>
    <w:multiLevelType w:val="multilevel"/>
    <w:tmpl w:val="B4B625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12">
    <w:nsid w:val="0FF44048"/>
    <w:multiLevelType w:val="hybridMultilevel"/>
    <w:tmpl w:val="AB8A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8C3FE3"/>
    <w:multiLevelType w:val="hybridMultilevel"/>
    <w:tmpl w:val="74B0E852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9F530E"/>
    <w:multiLevelType w:val="hybridMultilevel"/>
    <w:tmpl w:val="DA743834"/>
    <w:lvl w:ilvl="0" w:tplc="1424EF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161F47F0"/>
    <w:multiLevelType w:val="hybridMultilevel"/>
    <w:tmpl w:val="E94CB1F0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8F065A"/>
    <w:multiLevelType w:val="hybridMultilevel"/>
    <w:tmpl w:val="BA32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D85E71"/>
    <w:multiLevelType w:val="hybridMultilevel"/>
    <w:tmpl w:val="993044AE"/>
    <w:lvl w:ilvl="0" w:tplc="8148212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7A5699"/>
    <w:multiLevelType w:val="hybridMultilevel"/>
    <w:tmpl w:val="E7CAC4BC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04012"/>
    <w:multiLevelType w:val="hybridMultilevel"/>
    <w:tmpl w:val="7DBC3CDA"/>
    <w:lvl w:ilvl="0" w:tplc="33FE2298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B524FD"/>
    <w:multiLevelType w:val="hybridMultilevel"/>
    <w:tmpl w:val="6234BA24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5526A"/>
    <w:multiLevelType w:val="hybridMultilevel"/>
    <w:tmpl w:val="EEE8CFCA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4523DC"/>
    <w:multiLevelType w:val="multilevel"/>
    <w:tmpl w:val="EA1A8FFA"/>
    <w:lvl w:ilvl="0">
      <w:start w:val="1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3.%2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24">
    <w:nsid w:val="5B005C0C"/>
    <w:multiLevelType w:val="hybridMultilevel"/>
    <w:tmpl w:val="22E89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95B39"/>
    <w:multiLevelType w:val="hybridMultilevel"/>
    <w:tmpl w:val="E99A7834"/>
    <w:lvl w:ilvl="0" w:tplc="33FE2298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C022C7"/>
    <w:multiLevelType w:val="hybridMultilevel"/>
    <w:tmpl w:val="D31E9D92"/>
    <w:lvl w:ilvl="0" w:tplc="33FE2298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EA15A1"/>
    <w:multiLevelType w:val="multilevel"/>
    <w:tmpl w:val="FAA42BFC"/>
    <w:lvl w:ilvl="0">
      <w:start w:val="1"/>
      <w:numFmt w:val="upperRoman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abstractNum w:abstractNumId="28">
    <w:nsid w:val="76666ADB"/>
    <w:multiLevelType w:val="hybridMultilevel"/>
    <w:tmpl w:val="4B4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B259B"/>
    <w:multiLevelType w:val="hybridMultilevel"/>
    <w:tmpl w:val="CEB6C390"/>
    <w:lvl w:ilvl="0" w:tplc="33FE2298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7"/>
  </w:num>
  <w:num w:numId="14">
    <w:abstractNumId w:val="2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4"/>
  </w:num>
  <w:num w:numId="21">
    <w:abstractNumId w:val="14"/>
  </w:num>
  <w:num w:numId="22">
    <w:abstractNumId w:val="28"/>
  </w:num>
  <w:num w:numId="23">
    <w:abstractNumId w:val="17"/>
  </w:num>
  <w:num w:numId="24">
    <w:abstractNumId w:val="12"/>
  </w:num>
  <w:num w:numId="25">
    <w:abstractNumId w:val="18"/>
  </w:num>
  <w:num w:numId="26">
    <w:abstractNumId w:val="24"/>
  </w:num>
  <w:num w:numId="27">
    <w:abstractNumId w:val="20"/>
  </w:num>
  <w:num w:numId="28">
    <w:abstractNumId w:val="10"/>
  </w:num>
  <w:num w:numId="29">
    <w:abstractNumId w:val="21"/>
  </w:num>
  <w:num w:numId="30">
    <w:abstractNumId w:val="13"/>
  </w:num>
  <w:num w:numId="31">
    <w:abstractNumId w:val="19"/>
  </w:num>
  <w:num w:numId="32">
    <w:abstractNumId w:val="26"/>
  </w:num>
  <w:num w:numId="33">
    <w:abstractNumId w:val="16"/>
  </w:num>
  <w:num w:numId="34">
    <w:abstractNumId w:val="25"/>
  </w:num>
  <w:num w:numId="35">
    <w:abstractNumId w:val="29"/>
  </w:num>
  <w:num w:numId="36">
    <w:abstractNumId w:val="22"/>
  </w:num>
  <w:num w:numId="37">
    <w:abstractNumId w:val="15"/>
  </w:num>
  <w:num w:numId="38">
    <w:abstractNumId w:val="23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3474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E9219E"/>
    <w:rsid w:val="00004C22"/>
    <w:rsid w:val="00006EEF"/>
    <w:rsid w:val="00010176"/>
    <w:rsid w:val="00010C92"/>
    <w:rsid w:val="0002131E"/>
    <w:rsid w:val="00025E72"/>
    <w:rsid w:val="0002663E"/>
    <w:rsid w:val="00026E09"/>
    <w:rsid w:val="00036422"/>
    <w:rsid w:val="00040D64"/>
    <w:rsid w:val="000441F6"/>
    <w:rsid w:val="00047A8E"/>
    <w:rsid w:val="00054819"/>
    <w:rsid w:val="000610BD"/>
    <w:rsid w:val="0006211B"/>
    <w:rsid w:val="00062BF7"/>
    <w:rsid w:val="00063F57"/>
    <w:rsid w:val="000657F5"/>
    <w:rsid w:val="00067F35"/>
    <w:rsid w:val="000704D9"/>
    <w:rsid w:val="00084523"/>
    <w:rsid w:val="0008480E"/>
    <w:rsid w:val="000866FD"/>
    <w:rsid w:val="000926EA"/>
    <w:rsid w:val="000957E9"/>
    <w:rsid w:val="000A7466"/>
    <w:rsid w:val="000A7E0C"/>
    <w:rsid w:val="000B0703"/>
    <w:rsid w:val="000B5581"/>
    <w:rsid w:val="000B7AE6"/>
    <w:rsid w:val="000C0E90"/>
    <w:rsid w:val="000C1396"/>
    <w:rsid w:val="000D6A5C"/>
    <w:rsid w:val="000D747F"/>
    <w:rsid w:val="000E4648"/>
    <w:rsid w:val="000E4EE2"/>
    <w:rsid w:val="000E5891"/>
    <w:rsid w:val="000F09B3"/>
    <w:rsid w:val="000F2CB0"/>
    <w:rsid w:val="000F7918"/>
    <w:rsid w:val="001013F4"/>
    <w:rsid w:val="00105CFC"/>
    <w:rsid w:val="001139E0"/>
    <w:rsid w:val="00120F55"/>
    <w:rsid w:val="0012222E"/>
    <w:rsid w:val="0012368B"/>
    <w:rsid w:val="0013229D"/>
    <w:rsid w:val="00132ED6"/>
    <w:rsid w:val="001361E1"/>
    <w:rsid w:val="001420E0"/>
    <w:rsid w:val="00143675"/>
    <w:rsid w:val="00146C29"/>
    <w:rsid w:val="00151A90"/>
    <w:rsid w:val="0015268B"/>
    <w:rsid w:val="00152D21"/>
    <w:rsid w:val="00154F8C"/>
    <w:rsid w:val="00155984"/>
    <w:rsid w:val="00155DDA"/>
    <w:rsid w:val="001612B2"/>
    <w:rsid w:val="00165691"/>
    <w:rsid w:val="001762DA"/>
    <w:rsid w:val="001777FF"/>
    <w:rsid w:val="001823EB"/>
    <w:rsid w:val="00190005"/>
    <w:rsid w:val="001903B2"/>
    <w:rsid w:val="001A58BE"/>
    <w:rsid w:val="001A5C0F"/>
    <w:rsid w:val="001B3DFC"/>
    <w:rsid w:val="001B41F6"/>
    <w:rsid w:val="001B5D17"/>
    <w:rsid w:val="001C2A4F"/>
    <w:rsid w:val="001C4350"/>
    <w:rsid w:val="001C513B"/>
    <w:rsid w:val="001C641C"/>
    <w:rsid w:val="001C6797"/>
    <w:rsid w:val="001C6CDF"/>
    <w:rsid w:val="001C6E57"/>
    <w:rsid w:val="001C6EBE"/>
    <w:rsid w:val="001D51EF"/>
    <w:rsid w:val="001E04DD"/>
    <w:rsid w:val="001E5452"/>
    <w:rsid w:val="001E5D39"/>
    <w:rsid w:val="001E781A"/>
    <w:rsid w:val="001E7986"/>
    <w:rsid w:val="001F3F96"/>
    <w:rsid w:val="00210507"/>
    <w:rsid w:val="00212374"/>
    <w:rsid w:val="00213962"/>
    <w:rsid w:val="002140B0"/>
    <w:rsid w:val="00215246"/>
    <w:rsid w:val="002158E6"/>
    <w:rsid w:val="00216570"/>
    <w:rsid w:val="00217B7C"/>
    <w:rsid w:val="00221CE9"/>
    <w:rsid w:val="002221C9"/>
    <w:rsid w:val="00222BFF"/>
    <w:rsid w:val="002279AB"/>
    <w:rsid w:val="002318A9"/>
    <w:rsid w:val="00231C4A"/>
    <w:rsid w:val="00232822"/>
    <w:rsid w:val="00245EF4"/>
    <w:rsid w:val="00246060"/>
    <w:rsid w:val="00247034"/>
    <w:rsid w:val="00247AF0"/>
    <w:rsid w:val="00257351"/>
    <w:rsid w:val="002577A5"/>
    <w:rsid w:val="00257BE1"/>
    <w:rsid w:val="00257E91"/>
    <w:rsid w:val="002669F2"/>
    <w:rsid w:val="0026790C"/>
    <w:rsid w:val="00270404"/>
    <w:rsid w:val="00273FCC"/>
    <w:rsid w:val="0027628D"/>
    <w:rsid w:val="00280673"/>
    <w:rsid w:val="00280D51"/>
    <w:rsid w:val="0028236A"/>
    <w:rsid w:val="002871FC"/>
    <w:rsid w:val="00287B0A"/>
    <w:rsid w:val="00291C5B"/>
    <w:rsid w:val="00293491"/>
    <w:rsid w:val="0029700C"/>
    <w:rsid w:val="002A32E4"/>
    <w:rsid w:val="002A5F04"/>
    <w:rsid w:val="002B0EF8"/>
    <w:rsid w:val="002C08EA"/>
    <w:rsid w:val="002C17B3"/>
    <w:rsid w:val="002C3EB1"/>
    <w:rsid w:val="002C674E"/>
    <w:rsid w:val="002C7E3C"/>
    <w:rsid w:val="002D67E6"/>
    <w:rsid w:val="002D6ECC"/>
    <w:rsid w:val="002E03E7"/>
    <w:rsid w:val="002E0D6C"/>
    <w:rsid w:val="002E79B2"/>
    <w:rsid w:val="002E7B07"/>
    <w:rsid w:val="002F0A4F"/>
    <w:rsid w:val="00300A18"/>
    <w:rsid w:val="00300DF2"/>
    <w:rsid w:val="0030521A"/>
    <w:rsid w:val="00311FF7"/>
    <w:rsid w:val="00314689"/>
    <w:rsid w:val="00315445"/>
    <w:rsid w:val="003163D1"/>
    <w:rsid w:val="00317361"/>
    <w:rsid w:val="003231B1"/>
    <w:rsid w:val="00325504"/>
    <w:rsid w:val="003262F0"/>
    <w:rsid w:val="00327493"/>
    <w:rsid w:val="00330D1D"/>
    <w:rsid w:val="00330EA3"/>
    <w:rsid w:val="00333DC5"/>
    <w:rsid w:val="00340FCE"/>
    <w:rsid w:val="00350C5A"/>
    <w:rsid w:val="003554B7"/>
    <w:rsid w:val="00360A26"/>
    <w:rsid w:val="00362A5D"/>
    <w:rsid w:val="003647D8"/>
    <w:rsid w:val="003651B3"/>
    <w:rsid w:val="00370E36"/>
    <w:rsid w:val="0037124D"/>
    <w:rsid w:val="00371DD6"/>
    <w:rsid w:val="00373C7E"/>
    <w:rsid w:val="0038082B"/>
    <w:rsid w:val="00381005"/>
    <w:rsid w:val="00385398"/>
    <w:rsid w:val="00386EE2"/>
    <w:rsid w:val="0038706B"/>
    <w:rsid w:val="0039049E"/>
    <w:rsid w:val="0039428C"/>
    <w:rsid w:val="00397CC6"/>
    <w:rsid w:val="003A0BA2"/>
    <w:rsid w:val="003A1779"/>
    <w:rsid w:val="003A314E"/>
    <w:rsid w:val="003A5821"/>
    <w:rsid w:val="003A61E9"/>
    <w:rsid w:val="003B52B2"/>
    <w:rsid w:val="003B76D1"/>
    <w:rsid w:val="003C02B9"/>
    <w:rsid w:val="003C331C"/>
    <w:rsid w:val="003C62A2"/>
    <w:rsid w:val="003C6BB9"/>
    <w:rsid w:val="003D211D"/>
    <w:rsid w:val="003D3FB7"/>
    <w:rsid w:val="003D4042"/>
    <w:rsid w:val="003E089C"/>
    <w:rsid w:val="003E166B"/>
    <w:rsid w:val="003E3F0D"/>
    <w:rsid w:val="003E6803"/>
    <w:rsid w:val="003E7BE2"/>
    <w:rsid w:val="003F62BA"/>
    <w:rsid w:val="00401A75"/>
    <w:rsid w:val="00407FC8"/>
    <w:rsid w:val="00412EE5"/>
    <w:rsid w:val="0041615C"/>
    <w:rsid w:val="00416EB2"/>
    <w:rsid w:val="004172DD"/>
    <w:rsid w:val="004217A1"/>
    <w:rsid w:val="00427D04"/>
    <w:rsid w:val="00431F15"/>
    <w:rsid w:val="00436BFB"/>
    <w:rsid w:val="00467C82"/>
    <w:rsid w:val="00467EAC"/>
    <w:rsid w:val="00476B2F"/>
    <w:rsid w:val="0048031E"/>
    <w:rsid w:val="00480341"/>
    <w:rsid w:val="004845A6"/>
    <w:rsid w:val="004872AE"/>
    <w:rsid w:val="00492508"/>
    <w:rsid w:val="00492BC3"/>
    <w:rsid w:val="00494E32"/>
    <w:rsid w:val="0049705E"/>
    <w:rsid w:val="004A7144"/>
    <w:rsid w:val="004B0E9E"/>
    <w:rsid w:val="004B2C14"/>
    <w:rsid w:val="004B372A"/>
    <w:rsid w:val="004B7A56"/>
    <w:rsid w:val="004C2BC6"/>
    <w:rsid w:val="004C376D"/>
    <w:rsid w:val="004C4E38"/>
    <w:rsid w:val="004C5ECE"/>
    <w:rsid w:val="004E3F8F"/>
    <w:rsid w:val="004F3606"/>
    <w:rsid w:val="004F452C"/>
    <w:rsid w:val="004F71BF"/>
    <w:rsid w:val="004F773E"/>
    <w:rsid w:val="00510B97"/>
    <w:rsid w:val="005175E5"/>
    <w:rsid w:val="00517663"/>
    <w:rsid w:val="005205EF"/>
    <w:rsid w:val="00521430"/>
    <w:rsid w:val="00526C8B"/>
    <w:rsid w:val="005301E7"/>
    <w:rsid w:val="005303D0"/>
    <w:rsid w:val="005312A1"/>
    <w:rsid w:val="005340A4"/>
    <w:rsid w:val="0053590C"/>
    <w:rsid w:val="00541726"/>
    <w:rsid w:val="00547CDC"/>
    <w:rsid w:val="00553C4C"/>
    <w:rsid w:val="0055505B"/>
    <w:rsid w:val="00562A4F"/>
    <w:rsid w:val="0056308F"/>
    <w:rsid w:val="00573469"/>
    <w:rsid w:val="00573A48"/>
    <w:rsid w:val="0058002F"/>
    <w:rsid w:val="00586F53"/>
    <w:rsid w:val="005A33E8"/>
    <w:rsid w:val="005B4BDA"/>
    <w:rsid w:val="005B4D58"/>
    <w:rsid w:val="005B7404"/>
    <w:rsid w:val="005C5B16"/>
    <w:rsid w:val="005C708C"/>
    <w:rsid w:val="005C7ED3"/>
    <w:rsid w:val="005D2AEA"/>
    <w:rsid w:val="005D6F13"/>
    <w:rsid w:val="005E3613"/>
    <w:rsid w:val="005E43E2"/>
    <w:rsid w:val="005F0D8E"/>
    <w:rsid w:val="005F3DF1"/>
    <w:rsid w:val="005F5BF8"/>
    <w:rsid w:val="005F60AB"/>
    <w:rsid w:val="00603485"/>
    <w:rsid w:val="00604030"/>
    <w:rsid w:val="00610463"/>
    <w:rsid w:val="00614BC9"/>
    <w:rsid w:val="00614C08"/>
    <w:rsid w:val="006176C4"/>
    <w:rsid w:val="00623267"/>
    <w:rsid w:val="00623FB7"/>
    <w:rsid w:val="00624D4A"/>
    <w:rsid w:val="006307DE"/>
    <w:rsid w:val="006310D4"/>
    <w:rsid w:val="00645106"/>
    <w:rsid w:val="00647424"/>
    <w:rsid w:val="00647908"/>
    <w:rsid w:val="00647B6E"/>
    <w:rsid w:val="006505CC"/>
    <w:rsid w:val="006508AD"/>
    <w:rsid w:val="0066144C"/>
    <w:rsid w:val="00661539"/>
    <w:rsid w:val="0066301D"/>
    <w:rsid w:val="0066323E"/>
    <w:rsid w:val="00664862"/>
    <w:rsid w:val="006651EA"/>
    <w:rsid w:val="006752DE"/>
    <w:rsid w:val="006776BB"/>
    <w:rsid w:val="006816B5"/>
    <w:rsid w:val="006A6138"/>
    <w:rsid w:val="006A6E58"/>
    <w:rsid w:val="006B4D22"/>
    <w:rsid w:val="006B5B9F"/>
    <w:rsid w:val="006B7E88"/>
    <w:rsid w:val="006C1F16"/>
    <w:rsid w:val="006C35D3"/>
    <w:rsid w:val="006C3B31"/>
    <w:rsid w:val="006C4DD6"/>
    <w:rsid w:val="006C634B"/>
    <w:rsid w:val="006C640C"/>
    <w:rsid w:val="006D189D"/>
    <w:rsid w:val="006D2BCA"/>
    <w:rsid w:val="006E04D8"/>
    <w:rsid w:val="006F5A3A"/>
    <w:rsid w:val="00703112"/>
    <w:rsid w:val="00704CF5"/>
    <w:rsid w:val="00704EC7"/>
    <w:rsid w:val="0070601D"/>
    <w:rsid w:val="007141E9"/>
    <w:rsid w:val="00715F4A"/>
    <w:rsid w:val="007215D7"/>
    <w:rsid w:val="00722E4E"/>
    <w:rsid w:val="00723ED9"/>
    <w:rsid w:val="0073202E"/>
    <w:rsid w:val="007376A5"/>
    <w:rsid w:val="00757190"/>
    <w:rsid w:val="00760DE4"/>
    <w:rsid w:val="00761695"/>
    <w:rsid w:val="007712DA"/>
    <w:rsid w:val="007817BF"/>
    <w:rsid w:val="00791184"/>
    <w:rsid w:val="00792B75"/>
    <w:rsid w:val="00793705"/>
    <w:rsid w:val="0079626A"/>
    <w:rsid w:val="007A3637"/>
    <w:rsid w:val="007A42DF"/>
    <w:rsid w:val="007A6DE9"/>
    <w:rsid w:val="007B0F3F"/>
    <w:rsid w:val="007B5BCB"/>
    <w:rsid w:val="007B7375"/>
    <w:rsid w:val="007C03EF"/>
    <w:rsid w:val="007C383A"/>
    <w:rsid w:val="007C6CF0"/>
    <w:rsid w:val="007C7DED"/>
    <w:rsid w:val="007D4F57"/>
    <w:rsid w:val="007D6B5A"/>
    <w:rsid w:val="007E0A22"/>
    <w:rsid w:val="007E74D2"/>
    <w:rsid w:val="007F5131"/>
    <w:rsid w:val="007F6C70"/>
    <w:rsid w:val="00801BE9"/>
    <w:rsid w:val="00801C48"/>
    <w:rsid w:val="00801DC6"/>
    <w:rsid w:val="008102FF"/>
    <w:rsid w:val="0081123F"/>
    <w:rsid w:val="0081173E"/>
    <w:rsid w:val="00811951"/>
    <w:rsid w:val="008178B0"/>
    <w:rsid w:val="00823B0E"/>
    <w:rsid w:val="00823D44"/>
    <w:rsid w:val="008264A6"/>
    <w:rsid w:val="0083239A"/>
    <w:rsid w:val="0083257A"/>
    <w:rsid w:val="00840E44"/>
    <w:rsid w:val="0084163D"/>
    <w:rsid w:val="00844260"/>
    <w:rsid w:val="00850254"/>
    <w:rsid w:val="008572B3"/>
    <w:rsid w:val="00860616"/>
    <w:rsid w:val="0086185C"/>
    <w:rsid w:val="008627DF"/>
    <w:rsid w:val="00870061"/>
    <w:rsid w:val="008759E6"/>
    <w:rsid w:val="00884616"/>
    <w:rsid w:val="008864AD"/>
    <w:rsid w:val="00890E49"/>
    <w:rsid w:val="008A0330"/>
    <w:rsid w:val="008A5E8C"/>
    <w:rsid w:val="008B295B"/>
    <w:rsid w:val="008C0154"/>
    <w:rsid w:val="008C0F3E"/>
    <w:rsid w:val="008C2638"/>
    <w:rsid w:val="008C472A"/>
    <w:rsid w:val="008C71A4"/>
    <w:rsid w:val="008D181F"/>
    <w:rsid w:val="008E3555"/>
    <w:rsid w:val="008E3BC1"/>
    <w:rsid w:val="008E3FCD"/>
    <w:rsid w:val="008F2691"/>
    <w:rsid w:val="00905DED"/>
    <w:rsid w:val="00911A3B"/>
    <w:rsid w:val="00912105"/>
    <w:rsid w:val="00916159"/>
    <w:rsid w:val="00926055"/>
    <w:rsid w:val="00935F45"/>
    <w:rsid w:val="00936583"/>
    <w:rsid w:val="00942353"/>
    <w:rsid w:val="009455E2"/>
    <w:rsid w:val="00951764"/>
    <w:rsid w:val="00952688"/>
    <w:rsid w:val="0095367A"/>
    <w:rsid w:val="00955148"/>
    <w:rsid w:val="009563F0"/>
    <w:rsid w:val="009572A6"/>
    <w:rsid w:val="00961424"/>
    <w:rsid w:val="00962B69"/>
    <w:rsid w:val="00967072"/>
    <w:rsid w:val="009702A7"/>
    <w:rsid w:val="00973DEE"/>
    <w:rsid w:val="009769BE"/>
    <w:rsid w:val="00983994"/>
    <w:rsid w:val="0098648F"/>
    <w:rsid w:val="00991514"/>
    <w:rsid w:val="00992232"/>
    <w:rsid w:val="00994A05"/>
    <w:rsid w:val="009A08DF"/>
    <w:rsid w:val="009A27AB"/>
    <w:rsid w:val="009A6646"/>
    <w:rsid w:val="009A68D9"/>
    <w:rsid w:val="009B446A"/>
    <w:rsid w:val="009C61BE"/>
    <w:rsid w:val="009C77CB"/>
    <w:rsid w:val="009D2E12"/>
    <w:rsid w:val="009D57A5"/>
    <w:rsid w:val="009D5DC4"/>
    <w:rsid w:val="009E60C9"/>
    <w:rsid w:val="009F4DBC"/>
    <w:rsid w:val="009F51CE"/>
    <w:rsid w:val="009F5FB7"/>
    <w:rsid w:val="009F6EFC"/>
    <w:rsid w:val="009F7991"/>
    <w:rsid w:val="00A00641"/>
    <w:rsid w:val="00A135F6"/>
    <w:rsid w:val="00A13EDC"/>
    <w:rsid w:val="00A14BCE"/>
    <w:rsid w:val="00A1588F"/>
    <w:rsid w:val="00A16F85"/>
    <w:rsid w:val="00A258CC"/>
    <w:rsid w:val="00A35E6E"/>
    <w:rsid w:val="00A40434"/>
    <w:rsid w:val="00A42912"/>
    <w:rsid w:val="00A523CA"/>
    <w:rsid w:val="00A63860"/>
    <w:rsid w:val="00A641B3"/>
    <w:rsid w:val="00A65DDB"/>
    <w:rsid w:val="00A66C7F"/>
    <w:rsid w:val="00A67BBB"/>
    <w:rsid w:val="00A759F4"/>
    <w:rsid w:val="00A76B93"/>
    <w:rsid w:val="00A8205A"/>
    <w:rsid w:val="00A82344"/>
    <w:rsid w:val="00A86984"/>
    <w:rsid w:val="00A87F0F"/>
    <w:rsid w:val="00A9049F"/>
    <w:rsid w:val="00A95015"/>
    <w:rsid w:val="00AA0B64"/>
    <w:rsid w:val="00AA26D2"/>
    <w:rsid w:val="00AA350E"/>
    <w:rsid w:val="00AA3CFE"/>
    <w:rsid w:val="00AA4D19"/>
    <w:rsid w:val="00AB12CC"/>
    <w:rsid w:val="00AC5192"/>
    <w:rsid w:val="00AD270F"/>
    <w:rsid w:val="00AD5D61"/>
    <w:rsid w:val="00AD7301"/>
    <w:rsid w:val="00AD74E7"/>
    <w:rsid w:val="00AE2269"/>
    <w:rsid w:val="00AE4A8E"/>
    <w:rsid w:val="00AE6827"/>
    <w:rsid w:val="00AE6C05"/>
    <w:rsid w:val="00AF2128"/>
    <w:rsid w:val="00AF36FB"/>
    <w:rsid w:val="00AF7A85"/>
    <w:rsid w:val="00B04D05"/>
    <w:rsid w:val="00B07FC3"/>
    <w:rsid w:val="00B10DEF"/>
    <w:rsid w:val="00B16596"/>
    <w:rsid w:val="00B17537"/>
    <w:rsid w:val="00B22249"/>
    <w:rsid w:val="00B25241"/>
    <w:rsid w:val="00B51D2B"/>
    <w:rsid w:val="00B52376"/>
    <w:rsid w:val="00B57C1B"/>
    <w:rsid w:val="00B637D0"/>
    <w:rsid w:val="00B640A9"/>
    <w:rsid w:val="00B661BB"/>
    <w:rsid w:val="00B7433F"/>
    <w:rsid w:val="00B75EE2"/>
    <w:rsid w:val="00B76E85"/>
    <w:rsid w:val="00B83A9A"/>
    <w:rsid w:val="00B85654"/>
    <w:rsid w:val="00B925B1"/>
    <w:rsid w:val="00B942B4"/>
    <w:rsid w:val="00B95EFB"/>
    <w:rsid w:val="00BA0504"/>
    <w:rsid w:val="00BA0705"/>
    <w:rsid w:val="00BA242A"/>
    <w:rsid w:val="00BA7F83"/>
    <w:rsid w:val="00BB0B3E"/>
    <w:rsid w:val="00BB17B0"/>
    <w:rsid w:val="00BB7601"/>
    <w:rsid w:val="00BC0948"/>
    <w:rsid w:val="00BC106B"/>
    <w:rsid w:val="00BC4212"/>
    <w:rsid w:val="00BC46D3"/>
    <w:rsid w:val="00BC4964"/>
    <w:rsid w:val="00BC6B1B"/>
    <w:rsid w:val="00BD0AB0"/>
    <w:rsid w:val="00BD25B2"/>
    <w:rsid w:val="00BD267A"/>
    <w:rsid w:val="00BD4269"/>
    <w:rsid w:val="00BE00AA"/>
    <w:rsid w:val="00BE09A7"/>
    <w:rsid w:val="00BE6F73"/>
    <w:rsid w:val="00BF3B37"/>
    <w:rsid w:val="00BF552D"/>
    <w:rsid w:val="00BF7DAC"/>
    <w:rsid w:val="00C02E3C"/>
    <w:rsid w:val="00C049A5"/>
    <w:rsid w:val="00C0595C"/>
    <w:rsid w:val="00C14354"/>
    <w:rsid w:val="00C16A44"/>
    <w:rsid w:val="00C17EBA"/>
    <w:rsid w:val="00C25F44"/>
    <w:rsid w:val="00C26BB0"/>
    <w:rsid w:val="00C30524"/>
    <w:rsid w:val="00C34737"/>
    <w:rsid w:val="00C34A76"/>
    <w:rsid w:val="00C35D38"/>
    <w:rsid w:val="00C410E7"/>
    <w:rsid w:val="00C44587"/>
    <w:rsid w:val="00C50F58"/>
    <w:rsid w:val="00C521AB"/>
    <w:rsid w:val="00C543E9"/>
    <w:rsid w:val="00C5564F"/>
    <w:rsid w:val="00C64CD8"/>
    <w:rsid w:val="00C6679F"/>
    <w:rsid w:val="00C67329"/>
    <w:rsid w:val="00C77EF3"/>
    <w:rsid w:val="00C82D4F"/>
    <w:rsid w:val="00C83DFD"/>
    <w:rsid w:val="00C9225C"/>
    <w:rsid w:val="00C9360F"/>
    <w:rsid w:val="00CA09B4"/>
    <w:rsid w:val="00CA59CE"/>
    <w:rsid w:val="00CA7208"/>
    <w:rsid w:val="00CB0294"/>
    <w:rsid w:val="00CB085A"/>
    <w:rsid w:val="00CB39AB"/>
    <w:rsid w:val="00CB3CFA"/>
    <w:rsid w:val="00CC6C8D"/>
    <w:rsid w:val="00CD017B"/>
    <w:rsid w:val="00CD2290"/>
    <w:rsid w:val="00CD6C49"/>
    <w:rsid w:val="00CD7B0F"/>
    <w:rsid w:val="00CE1640"/>
    <w:rsid w:val="00CE41E8"/>
    <w:rsid w:val="00CF063D"/>
    <w:rsid w:val="00CF1A81"/>
    <w:rsid w:val="00CF2125"/>
    <w:rsid w:val="00CF3346"/>
    <w:rsid w:val="00CF4973"/>
    <w:rsid w:val="00D12515"/>
    <w:rsid w:val="00D25F22"/>
    <w:rsid w:val="00D26BB7"/>
    <w:rsid w:val="00D2784A"/>
    <w:rsid w:val="00D34D23"/>
    <w:rsid w:val="00D34F53"/>
    <w:rsid w:val="00D366B2"/>
    <w:rsid w:val="00D42212"/>
    <w:rsid w:val="00D43550"/>
    <w:rsid w:val="00D443EF"/>
    <w:rsid w:val="00D44AAB"/>
    <w:rsid w:val="00D44F87"/>
    <w:rsid w:val="00D47014"/>
    <w:rsid w:val="00D5037E"/>
    <w:rsid w:val="00D6509E"/>
    <w:rsid w:val="00D65A39"/>
    <w:rsid w:val="00D73297"/>
    <w:rsid w:val="00D743C8"/>
    <w:rsid w:val="00D75C3E"/>
    <w:rsid w:val="00D77100"/>
    <w:rsid w:val="00D83CF9"/>
    <w:rsid w:val="00D83EE7"/>
    <w:rsid w:val="00D8554A"/>
    <w:rsid w:val="00D902A5"/>
    <w:rsid w:val="00D9089E"/>
    <w:rsid w:val="00D931B8"/>
    <w:rsid w:val="00DA5096"/>
    <w:rsid w:val="00DB0089"/>
    <w:rsid w:val="00DB24A4"/>
    <w:rsid w:val="00DB371B"/>
    <w:rsid w:val="00DB5797"/>
    <w:rsid w:val="00DB7192"/>
    <w:rsid w:val="00DC05CF"/>
    <w:rsid w:val="00DC7071"/>
    <w:rsid w:val="00DC7EB4"/>
    <w:rsid w:val="00DD5EF3"/>
    <w:rsid w:val="00DD6051"/>
    <w:rsid w:val="00DD646E"/>
    <w:rsid w:val="00DE3B7C"/>
    <w:rsid w:val="00DE48EF"/>
    <w:rsid w:val="00DE7B98"/>
    <w:rsid w:val="00DF1A33"/>
    <w:rsid w:val="00DF3307"/>
    <w:rsid w:val="00E010F4"/>
    <w:rsid w:val="00E018BB"/>
    <w:rsid w:val="00E04E36"/>
    <w:rsid w:val="00E11DE4"/>
    <w:rsid w:val="00E1315E"/>
    <w:rsid w:val="00E14815"/>
    <w:rsid w:val="00E164CB"/>
    <w:rsid w:val="00E17940"/>
    <w:rsid w:val="00E219C9"/>
    <w:rsid w:val="00E2258A"/>
    <w:rsid w:val="00E234F7"/>
    <w:rsid w:val="00E2383A"/>
    <w:rsid w:val="00E24594"/>
    <w:rsid w:val="00E26BC6"/>
    <w:rsid w:val="00E308A9"/>
    <w:rsid w:val="00E3545E"/>
    <w:rsid w:val="00E36005"/>
    <w:rsid w:val="00E438D6"/>
    <w:rsid w:val="00E45691"/>
    <w:rsid w:val="00E46358"/>
    <w:rsid w:val="00E5132E"/>
    <w:rsid w:val="00E51AFF"/>
    <w:rsid w:val="00E54E22"/>
    <w:rsid w:val="00E636CF"/>
    <w:rsid w:val="00E65C64"/>
    <w:rsid w:val="00E71186"/>
    <w:rsid w:val="00E721FD"/>
    <w:rsid w:val="00E77E0C"/>
    <w:rsid w:val="00E85A2D"/>
    <w:rsid w:val="00E919BF"/>
    <w:rsid w:val="00E9219E"/>
    <w:rsid w:val="00E92BCE"/>
    <w:rsid w:val="00E92D7F"/>
    <w:rsid w:val="00E93BC6"/>
    <w:rsid w:val="00E95B9D"/>
    <w:rsid w:val="00E97043"/>
    <w:rsid w:val="00E97DED"/>
    <w:rsid w:val="00EA1B09"/>
    <w:rsid w:val="00EA344F"/>
    <w:rsid w:val="00EA4C58"/>
    <w:rsid w:val="00EA597F"/>
    <w:rsid w:val="00EC50F2"/>
    <w:rsid w:val="00EC67A0"/>
    <w:rsid w:val="00ED1F1A"/>
    <w:rsid w:val="00ED26B5"/>
    <w:rsid w:val="00ED4698"/>
    <w:rsid w:val="00ED66E5"/>
    <w:rsid w:val="00EE176E"/>
    <w:rsid w:val="00EE451E"/>
    <w:rsid w:val="00EE51C2"/>
    <w:rsid w:val="00EE52EE"/>
    <w:rsid w:val="00EE6D37"/>
    <w:rsid w:val="00EF01E4"/>
    <w:rsid w:val="00EF06B5"/>
    <w:rsid w:val="00EF1CB4"/>
    <w:rsid w:val="00F02EEC"/>
    <w:rsid w:val="00F05636"/>
    <w:rsid w:val="00F0638B"/>
    <w:rsid w:val="00F06675"/>
    <w:rsid w:val="00F119DC"/>
    <w:rsid w:val="00F16997"/>
    <w:rsid w:val="00F20C61"/>
    <w:rsid w:val="00F22665"/>
    <w:rsid w:val="00F2553D"/>
    <w:rsid w:val="00F25916"/>
    <w:rsid w:val="00F3380E"/>
    <w:rsid w:val="00F34135"/>
    <w:rsid w:val="00F41CAF"/>
    <w:rsid w:val="00F46770"/>
    <w:rsid w:val="00F468FC"/>
    <w:rsid w:val="00F46B15"/>
    <w:rsid w:val="00F51511"/>
    <w:rsid w:val="00F52FE3"/>
    <w:rsid w:val="00F60D87"/>
    <w:rsid w:val="00F66315"/>
    <w:rsid w:val="00F67904"/>
    <w:rsid w:val="00F73ECD"/>
    <w:rsid w:val="00F7524A"/>
    <w:rsid w:val="00F77283"/>
    <w:rsid w:val="00F77AE5"/>
    <w:rsid w:val="00F8028C"/>
    <w:rsid w:val="00F821F0"/>
    <w:rsid w:val="00F87579"/>
    <w:rsid w:val="00F9159C"/>
    <w:rsid w:val="00F962F8"/>
    <w:rsid w:val="00F97C3F"/>
    <w:rsid w:val="00FA0D1C"/>
    <w:rsid w:val="00FA7542"/>
    <w:rsid w:val="00FB1AF4"/>
    <w:rsid w:val="00FB1DD4"/>
    <w:rsid w:val="00FB3625"/>
    <w:rsid w:val="00FB7AFE"/>
    <w:rsid w:val="00FD02E7"/>
    <w:rsid w:val="00FE24AE"/>
    <w:rsid w:val="00FE505E"/>
    <w:rsid w:val="00FE5311"/>
    <w:rsid w:val="00FE53F4"/>
    <w:rsid w:val="00FE7504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5" w:qFormat="1"/>
    <w:lsdException w:name="heading 4" w:qFormat="1"/>
    <w:lsdException w:name="heading 5" w:qFormat="1"/>
    <w:lsdException w:name="Normal Indent" w:uiPriority="8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8"/>
    <w:lsdException w:name="caption" w:semiHidden="1" w:uiPriority="8" w:unhideWhenUsed="1" w:qFormat="1"/>
    <w:lsdException w:name="table of figures" w:uiPriority="8"/>
    <w:lsdException w:name="envelope address" w:uiPriority="8"/>
    <w:lsdException w:name="envelope return" w:uiPriority="8"/>
    <w:lsdException w:name="footnote reference" w:uiPriority="8"/>
    <w:lsdException w:name="annotation reference" w:uiPriority="8"/>
    <w:lsdException w:name="line number" w:uiPriority="8"/>
    <w:lsdException w:name="page number" w:uiPriority="8"/>
    <w:lsdException w:name="endnote reference" w:uiPriority="8"/>
    <w:lsdException w:name="endnote text" w:uiPriority="8"/>
    <w:lsdException w:name="table of authorities" w:uiPriority="8"/>
    <w:lsdException w:name="macro" w:uiPriority="8"/>
    <w:lsdException w:name="toa heading" w:uiPriority="8"/>
    <w:lsdException w:name="List" w:uiPriority="8"/>
    <w:lsdException w:name="List Bullet" w:qFormat="1"/>
    <w:lsdException w:name="List Number" w:uiPriority="8"/>
    <w:lsdException w:name="List 2" w:uiPriority="8"/>
    <w:lsdException w:name="List 3" w:uiPriority="8"/>
    <w:lsdException w:name="List 4" w:uiPriority="8"/>
    <w:lsdException w:name="List 5" w:uiPriority="8"/>
    <w:lsdException w:name="List Number 2" w:uiPriority="8"/>
    <w:lsdException w:name="List Number 3" w:uiPriority="8"/>
    <w:lsdException w:name="List Number 4" w:uiPriority="8"/>
    <w:lsdException w:name="List Number 5" w:uiPriority="8"/>
    <w:lsdException w:name="Closing" w:uiPriority="8"/>
    <w:lsdException w:name="Signature" w:uiPriority="8"/>
    <w:lsdException w:name="Body Text" w:uiPriority="8"/>
    <w:lsdException w:name="Body Text Indent" w:uiPriority="8"/>
    <w:lsdException w:name="List Continue" w:uiPriority="8"/>
    <w:lsdException w:name="List Continue 2" w:uiPriority="8"/>
    <w:lsdException w:name="List Continue 3" w:uiPriority="8"/>
    <w:lsdException w:name="List Continue 4" w:uiPriority="8"/>
    <w:lsdException w:name="List Continue 5" w:uiPriority="8"/>
    <w:lsdException w:name="Message Header" w:uiPriority="8"/>
    <w:lsdException w:name="Subtitle" w:uiPriority="8"/>
    <w:lsdException w:name="Salutation" w:uiPriority="8"/>
    <w:lsdException w:name="Date" w:uiPriority="8"/>
    <w:lsdException w:name="Body Text First Indent" w:uiPriority="8"/>
    <w:lsdException w:name="Body Text First Indent 2" w:uiPriority="8"/>
    <w:lsdException w:name="Note Heading" w:uiPriority="8"/>
    <w:lsdException w:name="Body Text 2" w:uiPriority="8"/>
    <w:lsdException w:name="Body Text 3" w:uiPriority="8"/>
    <w:lsdException w:name="Body Text Indent 2" w:uiPriority="8"/>
    <w:lsdException w:name="Body Text Indent 3" w:uiPriority="8"/>
    <w:lsdException w:name="Block Text" w:uiPriority="8"/>
    <w:lsdException w:name="Hyperlink" w:uiPriority="99"/>
    <w:lsdException w:name="FollowedHyperlink" w:uiPriority="8"/>
    <w:lsdException w:name="Strong" w:uiPriority="8" w:qFormat="1"/>
    <w:lsdException w:name="Emphasis" w:uiPriority="20" w:qFormat="1"/>
    <w:lsdException w:name="Document Map" w:uiPriority="8"/>
    <w:lsdException w:name="Plain Text" w:uiPriority="8"/>
    <w:lsdException w:name="E-mail Signature" w:uiPriority="8"/>
    <w:lsdException w:name="Normal (Web)" w:uiPriority="8"/>
    <w:lsdException w:name="HTML Acronym" w:uiPriority="8"/>
    <w:lsdException w:name="HTML Address" w:uiPriority="8"/>
    <w:lsdException w:name="HTML Cite" w:uiPriority="8"/>
    <w:lsdException w:name="HTML Code" w:uiPriority="8"/>
    <w:lsdException w:name="HTML Definition" w:uiPriority="8"/>
    <w:lsdException w:name="HTML Keyboard" w:uiPriority="8"/>
    <w:lsdException w:name="HTML Preformatted" w:uiPriority="8"/>
    <w:lsdException w:name="HTML Sample" w:uiPriority="8"/>
    <w:lsdException w:name="HTML Typewriter" w:uiPriority="8"/>
    <w:lsdException w:name="HTML Variable" w:uiPriority="8"/>
    <w:lsdException w:name="annotation subject" w:uiPriority="8"/>
    <w:lsdException w:name="Balloon Text" w:uiPriority="8"/>
    <w:lsdException w:name="Placeholder Text" w:semiHidden="1" w:uiPriority="99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37" w:qFormat="1"/>
    <w:lsdException w:name="Intense Quote" w:uiPriority="3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7"/>
    <w:lsdException w:name="Intense Emphasis" w:uiPriority="29"/>
    <w:lsdException w:name="Subtle Reference" w:uiPriority="39"/>
    <w:lsdException w:name="Intense Reference" w:uiPriority="40"/>
    <w:lsdException w:name="Book Title" w:uiPriority="41" w:qFormat="1"/>
    <w:lsdException w:name="Bibliography" w:semiHidden="1" w:uiPriority="45" w:unhideWhenUsed="1"/>
    <w:lsdException w:name="TOC Heading" w:semiHidden="1" w:uiPriority="47" w:unhideWhenUsed="1" w:qFormat="1"/>
  </w:latentStyles>
  <w:style w:type="paragraph" w:default="1" w:styleId="Normal">
    <w:name w:val="Normal"/>
    <w:qFormat/>
    <w:rsid w:val="003647D8"/>
    <w:rPr>
      <w:sz w:val="24"/>
      <w:szCs w:val="24"/>
    </w:rPr>
  </w:style>
  <w:style w:type="paragraph" w:styleId="Heading1">
    <w:name w:val="heading 1"/>
    <w:basedOn w:val="Normal"/>
    <w:next w:val="Normal"/>
    <w:qFormat/>
    <w:rsid w:val="00327493"/>
    <w:pPr>
      <w:keepNext/>
      <w:numPr>
        <w:numId w:val="14"/>
      </w:numPr>
      <w:spacing w:after="240"/>
      <w:jc w:val="center"/>
      <w:outlineLvl w:val="0"/>
    </w:pPr>
    <w:rPr>
      <w:rFonts w:cs="Arial"/>
      <w:b/>
      <w:bCs/>
      <w:smallCaps/>
      <w:kern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27493"/>
    <w:pPr>
      <w:keepNext/>
      <w:numPr>
        <w:ilvl w:val="1"/>
        <w:numId w:val="14"/>
      </w:numPr>
      <w:spacing w:after="240"/>
      <w:jc w:val="center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5"/>
    <w:qFormat/>
    <w:rsid w:val="00327493"/>
    <w:pPr>
      <w:keepNext/>
      <w:spacing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uiPriority w:val="6"/>
    <w:qFormat/>
    <w:rsid w:val="00327493"/>
    <w:pPr>
      <w:keepNext/>
      <w:spacing w:after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uiPriority w:val="7"/>
    <w:qFormat/>
    <w:rsid w:val="00327493"/>
    <w:pPr>
      <w:keepNext/>
      <w:spacing w:after="24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uiPriority w:val="8"/>
    <w:rsid w:val="0032749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8"/>
    <w:rsid w:val="00327493"/>
    <w:pPr>
      <w:outlineLvl w:val="6"/>
    </w:pPr>
  </w:style>
  <w:style w:type="paragraph" w:styleId="Heading8">
    <w:name w:val="heading 8"/>
    <w:basedOn w:val="Normal"/>
    <w:next w:val="Normal"/>
    <w:uiPriority w:val="8"/>
    <w:rsid w:val="00327493"/>
    <w:pPr>
      <w:outlineLvl w:val="7"/>
    </w:pPr>
    <w:rPr>
      <w:iCs/>
    </w:rPr>
  </w:style>
  <w:style w:type="paragraph" w:styleId="Heading9">
    <w:name w:val="heading 9"/>
    <w:basedOn w:val="Normal"/>
    <w:next w:val="Normal"/>
    <w:uiPriority w:val="8"/>
    <w:rsid w:val="00327493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7493"/>
    <w:pPr>
      <w:tabs>
        <w:tab w:val="center" w:pos="4320"/>
        <w:tab w:val="right" w:pos="8640"/>
      </w:tabs>
    </w:p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327493"/>
    <w:pPr>
      <w:spacing w:after="200"/>
    </w:pPr>
    <w:rPr>
      <w:sz w:val="20"/>
      <w:szCs w:val="20"/>
    </w:rPr>
  </w:style>
  <w:style w:type="paragraph" w:customStyle="1" w:styleId="ParagraphNumbering">
    <w:name w:val="Paragraph Numbering"/>
    <w:basedOn w:val="Normal"/>
    <w:uiPriority w:val="1"/>
    <w:qFormat/>
    <w:rsid w:val="00952688"/>
    <w:pPr>
      <w:numPr>
        <w:numId w:val="21"/>
      </w:numPr>
      <w:spacing w:after="240"/>
    </w:pPr>
  </w:style>
  <w:style w:type="paragraph" w:styleId="Footer">
    <w:name w:val="footer"/>
    <w:basedOn w:val="Normal"/>
    <w:link w:val="FooterChar"/>
    <w:uiPriority w:val="99"/>
    <w:rsid w:val="00327493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uiPriority w:val="8"/>
    <w:rsid w:val="00327493"/>
    <w:rPr>
      <w:sz w:val="20"/>
      <w:vertAlign w:val="superscript"/>
    </w:rPr>
  </w:style>
  <w:style w:type="paragraph" w:customStyle="1" w:styleId="Appendix">
    <w:name w:val="Appendix"/>
    <w:basedOn w:val="Normal"/>
    <w:uiPriority w:val="8"/>
    <w:qFormat/>
    <w:rsid w:val="00327493"/>
    <w:pPr>
      <w:jc w:val="center"/>
    </w:pPr>
    <w:rPr>
      <w:b/>
    </w:rPr>
  </w:style>
  <w:style w:type="paragraph" w:styleId="ListBullet">
    <w:name w:val="List Bullet"/>
    <w:basedOn w:val="Normal"/>
    <w:link w:val="ListBulletChar"/>
    <w:qFormat/>
    <w:rsid w:val="00327493"/>
    <w:pPr>
      <w:numPr>
        <w:numId w:val="15"/>
      </w:numPr>
      <w:spacing w:after="240"/>
    </w:pPr>
  </w:style>
  <w:style w:type="paragraph" w:styleId="TOC1">
    <w:name w:val="toc 1"/>
    <w:basedOn w:val="Normal"/>
    <w:next w:val="Normal"/>
    <w:uiPriority w:val="8"/>
    <w:rsid w:val="00327493"/>
  </w:style>
  <w:style w:type="paragraph" w:styleId="TOC2">
    <w:name w:val="toc 2"/>
    <w:basedOn w:val="Normal"/>
    <w:next w:val="Normal"/>
    <w:uiPriority w:val="8"/>
    <w:rsid w:val="00327493"/>
    <w:pPr>
      <w:ind w:left="240"/>
    </w:pPr>
  </w:style>
  <w:style w:type="paragraph" w:styleId="TOC3">
    <w:name w:val="toc 3"/>
    <w:basedOn w:val="Normal"/>
    <w:next w:val="Normal"/>
    <w:uiPriority w:val="8"/>
    <w:rsid w:val="00327493"/>
    <w:pPr>
      <w:ind w:left="480"/>
    </w:pPr>
  </w:style>
  <w:style w:type="paragraph" w:styleId="TOC4">
    <w:name w:val="toc 4"/>
    <w:basedOn w:val="Normal"/>
    <w:next w:val="Normal"/>
    <w:uiPriority w:val="8"/>
    <w:rsid w:val="00327493"/>
    <w:pPr>
      <w:ind w:left="720"/>
    </w:pPr>
  </w:style>
  <w:style w:type="paragraph" w:styleId="TOC5">
    <w:name w:val="toc 5"/>
    <w:basedOn w:val="Normal"/>
    <w:next w:val="Normal"/>
    <w:uiPriority w:val="8"/>
    <w:rsid w:val="00327493"/>
    <w:pPr>
      <w:ind w:left="960"/>
    </w:pPr>
  </w:style>
  <w:style w:type="paragraph" w:styleId="TOC6">
    <w:name w:val="toc 6"/>
    <w:basedOn w:val="Normal"/>
    <w:next w:val="Normal"/>
    <w:uiPriority w:val="8"/>
    <w:rsid w:val="00327493"/>
    <w:pPr>
      <w:ind w:left="1200"/>
    </w:pPr>
  </w:style>
  <w:style w:type="paragraph" w:styleId="TOC7">
    <w:name w:val="toc 7"/>
    <w:basedOn w:val="Normal"/>
    <w:next w:val="Normal"/>
    <w:uiPriority w:val="8"/>
    <w:rsid w:val="00327493"/>
    <w:pPr>
      <w:ind w:left="1440"/>
    </w:pPr>
  </w:style>
  <w:style w:type="paragraph" w:styleId="TOC8">
    <w:name w:val="toc 8"/>
    <w:basedOn w:val="Normal"/>
    <w:next w:val="Normal"/>
    <w:uiPriority w:val="8"/>
    <w:rsid w:val="00327493"/>
    <w:pPr>
      <w:ind w:left="1680"/>
    </w:pPr>
  </w:style>
  <w:style w:type="paragraph" w:styleId="TOC9">
    <w:name w:val="toc 9"/>
    <w:basedOn w:val="Normal"/>
    <w:next w:val="Normal"/>
    <w:uiPriority w:val="8"/>
    <w:rsid w:val="00327493"/>
    <w:pPr>
      <w:ind w:left="1920"/>
    </w:pPr>
  </w:style>
  <w:style w:type="paragraph" w:styleId="Index1">
    <w:name w:val="index 1"/>
    <w:basedOn w:val="Normal"/>
    <w:next w:val="Normal"/>
    <w:uiPriority w:val="8"/>
    <w:rsid w:val="00327493"/>
    <w:pPr>
      <w:ind w:left="240" w:hanging="240"/>
    </w:pPr>
  </w:style>
  <w:style w:type="paragraph" w:styleId="Index2">
    <w:name w:val="index 2"/>
    <w:basedOn w:val="Normal"/>
    <w:next w:val="Normal"/>
    <w:uiPriority w:val="8"/>
    <w:rsid w:val="00327493"/>
    <w:pPr>
      <w:ind w:left="480" w:hanging="240"/>
    </w:pPr>
  </w:style>
  <w:style w:type="paragraph" w:styleId="Index3">
    <w:name w:val="index 3"/>
    <w:basedOn w:val="Normal"/>
    <w:next w:val="Normal"/>
    <w:uiPriority w:val="8"/>
    <w:rsid w:val="00327493"/>
    <w:pPr>
      <w:ind w:left="720" w:hanging="240"/>
    </w:pPr>
  </w:style>
  <w:style w:type="paragraph" w:styleId="Index4">
    <w:name w:val="index 4"/>
    <w:basedOn w:val="Normal"/>
    <w:next w:val="Normal"/>
    <w:uiPriority w:val="8"/>
    <w:rsid w:val="00327493"/>
    <w:pPr>
      <w:ind w:left="960" w:hanging="240"/>
    </w:pPr>
  </w:style>
  <w:style w:type="paragraph" w:styleId="Index5">
    <w:name w:val="index 5"/>
    <w:basedOn w:val="Normal"/>
    <w:next w:val="Normal"/>
    <w:uiPriority w:val="8"/>
    <w:rsid w:val="00327493"/>
    <w:pPr>
      <w:ind w:left="1200" w:hanging="240"/>
    </w:pPr>
  </w:style>
  <w:style w:type="paragraph" w:styleId="Index6">
    <w:name w:val="index 6"/>
    <w:basedOn w:val="Normal"/>
    <w:next w:val="Normal"/>
    <w:uiPriority w:val="8"/>
    <w:rsid w:val="00327493"/>
    <w:pPr>
      <w:ind w:left="1440" w:hanging="240"/>
    </w:pPr>
  </w:style>
  <w:style w:type="paragraph" w:styleId="Index7">
    <w:name w:val="index 7"/>
    <w:basedOn w:val="Normal"/>
    <w:next w:val="Normal"/>
    <w:uiPriority w:val="8"/>
    <w:rsid w:val="00327493"/>
    <w:pPr>
      <w:ind w:left="1680" w:hanging="240"/>
    </w:pPr>
  </w:style>
  <w:style w:type="paragraph" w:styleId="Index8">
    <w:name w:val="index 8"/>
    <w:basedOn w:val="Normal"/>
    <w:next w:val="Normal"/>
    <w:uiPriority w:val="8"/>
    <w:rsid w:val="00327493"/>
    <w:pPr>
      <w:ind w:left="1920" w:hanging="240"/>
    </w:pPr>
  </w:style>
  <w:style w:type="paragraph" w:styleId="Index9">
    <w:name w:val="index 9"/>
    <w:basedOn w:val="Normal"/>
    <w:next w:val="Normal"/>
    <w:uiPriority w:val="8"/>
    <w:rsid w:val="00327493"/>
    <w:pPr>
      <w:ind w:left="2160" w:hanging="240"/>
    </w:pPr>
  </w:style>
  <w:style w:type="paragraph" w:styleId="ListBullet2">
    <w:name w:val="List Bullet 2"/>
    <w:basedOn w:val="Normal"/>
    <w:uiPriority w:val="8"/>
    <w:rsid w:val="00327493"/>
    <w:pPr>
      <w:numPr>
        <w:numId w:val="16"/>
      </w:numPr>
    </w:pPr>
  </w:style>
  <w:style w:type="paragraph" w:styleId="ListBullet3">
    <w:name w:val="List Bullet 3"/>
    <w:basedOn w:val="Normal"/>
    <w:uiPriority w:val="8"/>
    <w:rsid w:val="00327493"/>
    <w:pPr>
      <w:numPr>
        <w:numId w:val="17"/>
      </w:numPr>
    </w:pPr>
  </w:style>
  <w:style w:type="paragraph" w:styleId="ListBullet4">
    <w:name w:val="List Bullet 4"/>
    <w:basedOn w:val="Normal"/>
    <w:uiPriority w:val="8"/>
    <w:rsid w:val="00327493"/>
    <w:pPr>
      <w:numPr>
        <w:numId w:val="18"/>
      </w:numPr>
    </w:pPr>
  </w:style>
  <w:style w:type="paragraph" w:styleId="ListBullet5">
    <w:name w:val="List Bullet 5"/>
    <w:basedOn w:val="Normal"/>
    <w:uiPriority w:val="8"/>
    <w:rsid w:val="00327493"/>
    <w:pPr>
      <w:numPr>
        <w:numId w:val="19"/>
      </w:numPr>
    </w:pPr>
  </w:style>
  <w:style w:type="paragraph" w:styleId="Title">
    <w:name w:val="Title"/>
    <w:basedOn w:val="Normal"/>
    <w:uiPriority w:val="8"/>
    <w:rsid w:val="0032749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">
    <w:name w:val="Indent"/>
    <w:basedOn w:val="Normal"/>
    <w:uiPriority w:val="8"/>
    <w:qFormat/>
    <w:rsid w:val="00327493"/>
    <w:pPr>
      <w:ind w:left="720" w:hanging="720"/>
    </w:pPr>
  </w:style>
  <w:style w:type="paragraph" w:customStyle="1" w:styleId="UnNumberedHeading1">
    <w:name w:val="UnNumbered Heading 1"/>
    <w:basedOn w:val="Normal"/>
    <w:next w:val="Normal"/>
    <w:uiPriority w:val="8"/>
    <w:rsid w:val="00327493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492BC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E43E2"/>
    <w:pPr>
      <w:ind w:left="720"/>
      <w:contextualSpacing/>
    </w:pPr>
  </w:style>
  <w:style w:type="paragraph" w:styleId="BodyText">
    <w:name w:val="Body Text"/>
    <w:basedOn w:val="Normal"/>
    <w:link w:val="BodyTextChar"/>
    <w:uiPriority w:val="8"/>
    <w:rsid w:val="00A9049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8"/>
    <w:rsid w:val="00A9049F"/>
    <w:rPr>
      <w:sz w:val="24"/>
      <w:szCs w:val="24"/>
    </w:rPr>
  </w:style>
  <w:style w:type="paragraph" w:styleId="ListNumber">
    <w:name w:val="List Number"/>
    <w:basedOn w:val="Normal"/>
    <w:uiPriority w:val="8"/>
    <w:rsid w:val="00C410E7"/>
    <w:pPr>
      <w:numPr>
        <w:numId w:val="8"/>
      </w:numPr>
      <w:contextualSpacing/>
    </w:pPr>
  </w:style>
  <w:style w:type="character" w:customStyle="1" w:styleId="Heading2Char">
    <w:name w:val="Heading 2 Char"/>
    <w:basedOn w:val="DefaultParagraphFont"/>
    <w:link w:val="Heading2"/>
    <w:rsid w:val="002140B0"/>
    <w:rPr>
      <w:rFonts w:cs="Arial"/>
      <w:b/>
      <w:bCs/>
      <w:iCs/>
      <w:sz w:val="24"/>
      <w:szCs w:val="28"/>
    </w:rPr>
  </w:style>
  <w:style w:type="character" w:styleId="CommentReference">
    <w:name w:val="annotation reference"/>
    <w:basedOn w:val="DefaultParagraphFont"/>
    <w:uiPriority w:val="8"/>
    <w:rsid w:val="0021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1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40B0"/>
  </w:style>
  <w:style w:type="paragraph" w:styleId="BalloonText">
    <w:name w:val="Balloon Text"/>
    <w:basedOn w:val="Normal"/>
    <w:link w:val="BalloonTextChar"/>
    <w:uiPriority w:val="8"/>
    <w:rsid w:val="002140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8"/>
    <w:rsid w:val="002140B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2140B0"/>
  </w:style>
  <w:style w:type="character" w:styleId="Hyperlink">
    <w:name w:val="Hyperlink"/>
    <w:basedOn w:val="DefaultParagraphFont"/>
    <w:uiPriority w:val="99"/>
    <w:rsid w:val="002140B0"/>
    <w:rPr>
      <w:rFonts w:cs="Times New Roman"/>
      <w:color w:val="0000FF"/>
      <w:u w:val="single"/>
    </w:rPr>
  </w:style>
  <w:style w:type="character" w:customStyle="1" w:styleId="ListBulletChar">
    <w:name w:val="List Bullet Char"/>
    <w:basedOn w:val="DefaultParagraphFont"/>
    <w:link w:val="ListBullet"/>
    <w:rsid w:val="00006EEF"/>
    <w:rPr>
      <w:sz w:val="24"/>
      <w:szCs w:val="24"/>
    </w:rPr>
  </w:style>
  <w:style w:type="paragraph" w:styleId="Caption">
    <w:name w:val="caption"/>
    <w:basedOn w:val="Normal"/>
    <w:next w:val="Normal"/>
    <w:uiPriority w:val="8"/>
    <w:qFormat/>
    <w:rsid w:val="00006EEF"/>
    <w:pPr>
      <w:spacing w:before="120" w:after="120" w:line="240" w:lineRule="auto"/>
    </w:pPr>
    <w:rPr>
      <w:rFonts w:eastAsia="Times New Roman"/>
      <w:snapToGrid w:val="0"/>
      <w:szCs w:val="20"/>
    </w:rPr>
  </w:style>
  <w:style w:type="paragraph" w:customStyle="1" w:styleId="articledetails">
    <w:name w:val="articledetails"/>
    <w:basedOn w:val="Normal"/>
    <w:rsid w:val="00006EEF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Keywords">
    <w:name w:val="Keywords"/>
    <w:basedOn w:val="Normal"/>
    <w:uiPriority w:val="99"/>
    <w:rsid w:val="009F5FB7"/>
    <w:pPr>
      <w:spacing w:before="120" w:after="240"/>
    </w:pPr>
    <w:rPr>
      <w:rFonts w:eastAsia="Times New Roman"/>
      <w:noProof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42DF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5311"/>
    <w:rPr>
      <w:b/>
      <w:bCs/>
      <w:i w:val="0"/>
      <w:iCs w:val="0"/>
    </w:rPr>
  </w:style>
  <w:style w:type="character" w:customStyle="1" w:styleId="st1">
    <w:name w:val="st1"/>
    <w:basedOn w:val="DefaultParagraphFont"/>
    <w:rsid w:val="00FE5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yperlink" Target="http://www.google.bg/search?tbo=p&amp;tbm=bks&amp;q=inauthor:%22National+Bureau+of+Economic+Research%2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ogle.bg/search?tbo=p&amp;tbm=bks&amp;q=inauthor:%22Barry+J.+Eichengreen%2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yperlink" Target="http://www.google.bg/search?tbo=p&amp;tbm=bks&amp;q=inauthor:%22J.+Bradford+De+Long%22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/en/page/23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paliovalocal\My%20Local%20Documents\Iana%20Paliova'%20documents\Iana%20Paliova\Iana\PhD\International%20conferences\Iana%20Paliova_figures_tabl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paliovalocal\My%20Local%20Documents\Iana%20Paliova'%20documents\Iana%20Paliova\Iana\PhD\International%20conferences\Iana%20Paliova_figures_tabl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paliovalocal\My%20Local%20Documents\Iana%20Paliova'%20documents\Iana%20Paliova\Iana\PhD\International%20conferences\Iana%20Paliova_figures_tabl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paliovalocal\My%20Local%20Documents\Iana%20Paliova'%20documents\Iana%20Paliova\Iana\PhD\International%20conferences\Iana%20Paliova_figures_tabl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bar"/>
        <c:grouping val="clustered"/>
        <c:ser>
          <c:idx val="0"/>
          <c:order val="0"/>
          <c:tx>
            <c:strRef>
              <c:f>'Fig 2'!$B$3</c:f>
              <c:strCache>
                <c:ptCount val="1"/>
                <c:pt idx="0">
                  <c:v>Договорени средства, % от бюджета на СКФ за 2007-2013</c:v>
                </c:pt>
              </c:strCache>
            </c:strRef>
          </c:tx>
          <c:cat>
            <c:strRef>
              <c:f>'Fig 2'!$A$4:$A$14</c:f>
              <c:strCache>
                <c:ptCount val="11"/>
                <c:pt idx="0">
                  <c:v>България</c:v>
                </c:pt>
                <c:pt idx="1">
                  <c:v>Чешка република</c:v>
                </c:pt>
                <c:pt idx="2">
                  <c:v>Естония</c:v>
                </c:pt>
                <c:pt idx="3">
                  <c:v>Унгария</c:v>
                </c:pt>
                <c:pt idx="4">
                  <c:v>Латвия</c:v>
                </c:pt>
                <c:pt idx="5">
                  <c:v>Литва</c:v>
                </c:pt>
                <c:pt idx="6">
                  <c:v>Полша</c:v>
                </c:pt>
                <c:pt idx="7">
                  <c:v>Румъния</c:v>
                </c:pt>
                <c:pt idx="8">
                  <c:v>Словакия</c:v>
                </c:pt>
                <c:pt idx="9">
                  <c:v>Хърватска</c:v>
                </c:pt>
                <c:pt idx="10">
                  <c:v>Словения</c:v>
                </c:pt>
              </c:strCache>
            </c:strRef>
          </c:cat>
          <c:val>
            <c:numRef>
              <c:f>'Fig 2'!$B$4:$B$14</c:f>
              <c:numCache>
                <c:formatCode>0</c:formatCode>
                <c:ptCount val="11"/>
                <c:pt idx="0">
                  <c:v>105</c:v>
                </c:pt>
                <c:pt idx="1">
                  <c:v>103</c:v>
                </c:pt>
                <c:pt idx="2">
                  <c:v>100</c:v>
                </c:pt>
                <c:pt idx="3">
                  <c:v>117</c:v>
                </c:pt>
                <c:pt idx="4">
                  <c:v>104</c:v>
                </c:pt>
                <c:pt idx="5">
                  <c:v>99</c:v>
                </c:pt>
                <c:pt idx="6">
                  <c:v>100</c:v>
                </c:pt>
                <c:pt idx="7">
                  <c:v>116</c:v>
                </c:pt>
                <c:pt idx="8">
                  <c:v>122</c:v>
                </c:pt>
                <c:pt idx="9">
                  <c:v>117</c:v>
                </c:pt>
                <c:pt idx="10">
                  <c:v>107</c:v>
                </c:pt>
              </c:numCache>
            </c:numRef>
          </c:val>
        </c:ser>
        <c:ser>
          <c:idx val="1"/>
          <c:order val="1"/>
          <c:tx>
            <c:strRef>
              <c:f>'Fig 2'!$C$3</c:f>
              <c:strCache>
                <c:ptCount val="1"/>
                <c:pt idx="0">
                  <c:v>Платени средства от ЕС, % от бюджета на СКФ за 2007-2013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'Fig 2'!$A$4:$A$14</c:f>
              <c:strCache>
                <c:ptCount val="11"/>
                <c:pt idx="0">
                  <c:v>България</c:v>
                </c:pt>
                <c:pt idx="1">
                  <c:v>Чешка република</c:v>
                </c:pt>
                <c:pt idx="2">
                  <c:v>Естония</c:v>
                </c:pt>
                <c:pt idx="3">
                  <c:v>Унгария</c:v>
                </c:pt>
                <c:pt idx="4">
                  <c:v>Латвия</c:v>
                </c:pt>
                <c:pt idx="5">
                  <c:v>Литва</c:v>
                </c:pt>
                <c:pt idx="6">
                  <c:v>Полша</c:v>
                </c:pt>
                <c:pt idx="7">
                  <c:v>Румъния</c:v>
                </c:pt>
                <c:pt idx="8">
                  <c:v>Словакия</c:v>
                </c:pt>
                <c:pt idx="9">
                  <c:v>Хърватска</c:v>
                </c:pt>
                <c:pt idx="10">
                  <c:v>Словения</c:v>
                </c:pt>
              </c:strCache>
            </c:strRef>
          </c:cat>
          <c:val>
            <c:numRef>
              <c:f>'Fig 2'!$C$4:$C$14</c:f>
              <c:numCache>
                <c:formatCode>0</c:formatCode>
                <c:ptCount val="11"/>
                <c:pt idx="0">
                  <c:v>95</c:v>
                </c:pt>
                <c:pt idx="1">
                  <c:v>89</c:v>
                </c:pt>
                <c:pt idx="2">
                  <c:v>95</c:v>
                </c:pt>
                <c:pt idx="3">
                  <c:v>111</c:v>
                </c:pt>
                <c:pt idx="4">
                  <c:v>97</c:v>
                </c:pt>
                <c:pt idx="5">
                  <c:v>99</c:v>
                </c:pt>
                <c:pt idx="6">
                  <c:v>92</c:v>
                </c:pt>
                <c:pt idx="7">
                  <c:v>73</c:v>
                </c:pt>
                <c:pt idx="8">
                  <c:v>97</c:v>
                </c:pt>
                <c:pt idx="9">
                  <c:v>57</c:v>
                </c:pt>
                <c:pt idx="10">
                  <c:v>105</c:v>
                </c:pt>
              </c:numCache>
            </c:numRef>
          </c:val>
        </c:ser>
        <c:axId val="186082048"/>
        <c:axId val="186083968"/>
      </c:barChart>
      <c:catAx>
        <c:axId val="186082048"/>
        <c:scaling>
          <c:orientation val="minMax"/>
        </c:scaling>
        <c:axPos val="l"/>
        <c:tickLblPos val="nextTo"/>
        <c:crossAx val="186083968"/>
        <c:crosses val="autoZero"/>
        <c:auto val="1"/>
        <c:lblAlgn val="ctr"/>
        <c:lblOffset val="100"/>
      </c:catAx>
      <c:valAx>
        <c:axId val="186083968"/>
        <c:scaling>
          <c:orientation val="minMax"/>
        </c:scaling>
        <c:axPos val="b"/>
        <c:numFmt formatCode="0" sourceLinked="1"/>
        <c:tickLblPos val="nextTo"/>
        <c:crossAx val="186082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radarChart>
        <c:radarStyle val="marker"/>
        <c:ser>
          <c:idx val="0"/>
          <c:order val="0"/>
          <c:tx>
            <c:strRef>
              <c:f>'Fig 2'!$B$21</c:f>
              <c:strCache>
                <c:ptCount val="1"/>
                <c:pt idx="0">
                  <c:v>Разлика между договорени и платени,в % </c:v>
                </c:pt>
              </c:strCache>
            </c:strRef>
          </c:tx>
          <c:marker>
            <c:symbol val="none"/>
          </c:marker>
          <c:dLbls>
            <c:dLbl>
              <c:idx val="2"/>
              <c:layout>
                <c:manualLayout>
                  <c:x val="4.9282584805241323E-17"/>
                  <c:y val="-2.2222222222222251E-2"/>
                </c:manualLayout>
              </c:layout>
              <c:showVal val="1"/>
            </c:dLbl>
            <c:dLbl>
              <c:idx val="9"/>
              <c:layout>
                <c:manualLayout>
                  <c:x val="2.6881720430107794E-3"/>
                  <c:y val="-2.7777777777778283E-2"/>
                </c:manualLayout>
              </c:layout>
              <c:showVal val="1"/>
            </c:dLbl>
            <c:showVal val="1"/>
          </c:dLbls>
          <c:cat>
            <c:strRef>
              <c:f>'Fig 2'!$A$22:$A$32</c:f>
              <c:strCache>
                <c:ptCount val="11"/>
                <c:pt idx="0">
                  <c:v>България</c:v>
                </c:pt>
                <c:pt idx="1">
                  <c:v>Чешка република</c:v>
                </c:pt>
                <c:pt idx="2">
                  <c:v>Естония</c:v>
                </c:pt>
                <c:pt idx="3">
                  <c:v>Унгария</c:v>
                </c:pt>
                <c:pt idx="4">
                  <c:v>Латвия</c:v>
                </c:pt>
                <c:pt idx="5">
                  <c:v>Литва</c:v>
                </c:pt>
                <c:pt idx="6">
                  <c:v>Полша</c:v>
                </c:pt>
                <c:pt idx="7">
                  <c:v>Румъния</c:v>
                </c:pt>
                <c:pt idx="8">
                  <c:v>Словакия</c:v>
                </c:pt>
                <c:pt idx="9">
                  <c:v>Хърватска</c:v>
                </c:pt>
                <c:pt idx="10">
                  <c:v>Словения</c:v>
                </c:pt>
              </c:strCache>
            </c:strRef>
          </c:cat>
          <c:val>
            <c:numRef>
              <c:f>'Fig 2'!$B$22:$B$32</c:f>
              <c:numCache>
                <c:formatCode>0</c:formatCode>
                <c:ptCount val="11"/>
                <c:pt idx="0">
                  <c:v>10</c:v>
                </c:pt>
                <c:pt idx="1">
                  <c:v>14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0</c:v>
                </c:pt>
                <c:pt idx="6">
                  <c:v>8</c:v>
                </c:pt>
                <c:pt idx="7">
                  <c:v>43</c:v>
                </c:pt>
                <c:pt idx="8">
                  <c:v>25</c:v>
                </c:pt>
                <c:pt idx="9">
                  <c:v>60</c:v>
                </c:pt>
                <c:pt idx="10">
                  <c:v>2</c:v>
                </c:pt>
              </c:numCache>
            </c:numRef>
          </c:val>
        </c:ser>
        <c:axId val="196128768"/>
        <c:axId val="196132224"/>
      </c:radarChart>
      <c:catAx>
        <c:axId val="196128768"/>
        <c:scaling>
          <c:orientation val="minMax"/>
        </c:scaling>
        <c:axPos val="b"/>
        <c:majorGridlines/>
        <c:tickLblPos val="nextTo"/>
        <c:crossAx val="196132224"/>
        <c:crosses val="autoZero"/>
        <c:auto val="1"/>
        <c:lblAlgn val="ctr"/>
        <c:lblOffset val="100"/>
      </c:catAx>
      <c:valAx>
        <c:axId val="196132224"/>
        <c:scaling>
          <c:orientation val="minMax"/>
        </c:scaling>
        <c:delete val="1"/>
        <c:axPos val="l"/>
        <c:majorGridlines/>
        <c:numFmt formatCode="0" sourceLinked="1"/>
        <c:tickLblPos val="none"/>
        <c:crossAx val="1961287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'Fig 1 BG'!$B$3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</c:trendline>
          <c:xVal>
            <c:numRef>
              <c:f>'Fig 1 BG'!$A$5:$A$20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xVal>
          <c:yVal>
            <c:numRef>
              <c:f>'Fig 1 BG'!$B$5:$B$20</c:f>
              <c:numCache>
                <c:formatCode>General</c:formatCode>
                <c:ptCount val="16"/>
                <c:pt idx="3" formatCode="0.0">
                  <c:v>-0.16981244415975624</c:v>
                </c:pt>
                <c:pt idx="4" formatCode="0.0">
                  <c:v>-0.13637279572619751</c:v>
                </c:pt>
                <c:pt idx="5" formatCode="0.0">
                  <c:v>-2.4139175438349491E-2</c:v>
                </c:pt>
                <c:pt idx="6" formatCode="0.0">
                  <c:v>0.82485882448462688</c:v>
                </c:pt>
                <c:pt idx="7" formatCode="0.0">
                  <c:v>0.74002379023068265</c:v>
                </c:pt>
                <c:pt idx="8" formatCode="0.0">
                  <c:v>0.73339717775926216</c:v>
                </c:pt>
                <c:pt idx="9" formatCode="0.0">
                  <c:v>0.67024632976427168</c:v>
                </c:pt>
                <c:pt idx="10" formatCode="0.0">
                  <c:v>1.0330774449244831</c:v>
                </c:pt>
                <c:pt idx="11" formatCode="0.0">
                  <c:v>1.0708752482811312</c:v>
                </c:pt>
                <c:pt idx="12" formatCode="0.0">
                  <c:v>1.0078452332255718</c:v>
                </c:pt>
                <c:pt idx="13" formatCode="0.0">
                  <c:v>0.94019673783645907</c:v>
                </c:pt>
                <c:pt idx="14" formatCode="0.0">
                  <c:v>0.86501924676524977</c:v>
                </c:pt>
                <c:pt idx="15" formatCode="0.0">
                  <c:v>0.79094483056335696</c:v>
                </c:pt>
              </c:numCache>
            </c:numRef>
          </c:yVal>
        </c:ser>
        <c:axId val="200254976"/>
        <c:axId val="200267264"/>
      </c:scatterChart>
      <c:valAx>
        <c:axId val="200254976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200267264"/>
        <c:crosses val="autoZero"/>
        <c:crossBetween val="midCat"/>
      </c:valAx>
      <c:valAx>
        <c:axId val="200267264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200254976"/>
        <c:crosses val="autoZero"/>
        <c:crossBetween val="midCat"/>
      </c:valAx>
    </c:plotArea>
    <c:legend>
      <c:legendPos val="b"/>
      <c:legendEntry>
        <c:idx val="1"/>
        <c:delete val="1"/>
      </c:legendEntry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scatterChart>
        <c:scatterStyle val="lineMarker"/>
        <c:ser>
          <c:idx val="0"/>
          <c:order val="0"/>
          <c:tx>
            <c:strRef>
              <c:f>'Fig 1 BG'!$B$24</c:f>
              <c:strCache>
                <c:ptCount val="1"/>
                <c:pt idx="0">
                  <c:v>България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</c:trendline>
          <c:xVal>
            <c:numRef>
              <c:f>'Fig 1 BG'!$A$25:$A$40</c:f>
              <c:numCache>
                <c:formatCode>General</c:formatCode>
                <c:ptCount val="16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</c:numCache>
            </c:numRef>
          </c:xVal>
          <c:yVal>
            <c:numRef>
              <c:f>'Fig 1 BG'!$B$25:$B$40</c:f>
              <c:numCache>
                <c:formatCode>General</c:formatCode>
                <c:ptCount val="16"/>
                <c:pt idx="3" formatCode="0.0">
                  <c:v>0.65330148830752033</c:v>
                </c:pt>
                <c:pt idx="4" formatCode="0.0">
                  <c:v>0.87532535682166224</c:v>
                </c:pt>
                <c:pt idx="5" formatCode="0.0">
                  <c:v>1.3238252575741749</c:v>
                </c:pt>
                <c:pt idx="6" formatCode="0.0">
                  <c:v>2.1899766153850342</c:v>
                </c:pt>
                <c:pt idx="7" formatCode="0.0">
                  <c:v>2.0515433485690635</c:v>
                </c:pt>
                <c:pt idx="8" formatCode="0.0">
                  <c:v>2.0751276373370002</c:v>
                </c:pt>
                <c:pt idx="9" formatCode="0.0">
                  <c:v>2.0614259028971236</c:v>
                </c:pt>
                <c:pt idx="10" formatCode="0.0">
                  <c:v>2.6965044453172418</c:v>
                </c:pt>
                <c:pt idx="11" formatCode="0.0">
                  <c:v>2.765227724147536</c:v>
                </c:pt>
                <c:pt idx="12" formatCode="0.0">
                  <c:v>2.6506276967737668</c:v>
                </c:pt>
                <c:pt idx="13" formatCode="0.0">
                  <c:v>2.5276304324299255</c:v>
                </c:pt>
                <c:pt idx="14" formatCode="0.0">
                  <c:v>2.3909440850277264</c:v>
                </c:pt>
                <c:pt idx="15" formatCode="0.0">
                  <c:v>2.2562633282969995</c:v>
                </c:pt>
              </c:numCache>
            </c:numRef>
          </c:yVal>
        </c:ser>
        <c:axId val="219244032"/>
        <c:axId val="219245568"/>
      </c:scatterChart>
      <c:valAx>
        <c:axId val="219244032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219245568"/>
        <c:crosses val="autoZero"/>
        <c:crossBetween val="midCat"/>
      </c:valAx>
      <c:valAx>
        <c:axId val="219245568"/>
        <c:scaling>
          <c:orientation val="minMax"/>
        </c:scaling>
        <c:axPos val="l"/>
        <c:majorGridlines/>
        <c:minorGridlines/>
        <c:numFmt formatCode="General" sourceLinked="1"/>
        <c:tickLblPos val="nextTo"/>
        <c:crossAx val="219244032"/>
        <c:crosses val="autoZero"/>
        <c:crossBetween val="midCat"/>
      </c:valAx>
    </c:plotArea>
    <c:legend>
      <c:legendPos val="b"/>
      <c:legendEntry>
        <c:idx val="1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requently_x0020_Used xmlns="34f70b63-4224-473b-ac88-56a1c963a1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067CECD75F6488A011E7E877B7216" ma:contentTypeVersion="1" ma:contentTypeDescription="Create a new document." ma:contentTypeScope="" ma:versionID="085814069315b0c3f5edc5f8f65a052c">
  <xsd:schema xmlns:xsd="http://www.w3.org/2001/XMLSchema" xmlns:p="http://schemas.microsoft.com/office/2006/metadata/properties" xmlns:ns2="34f70b63-4224-473b-ac88-56a1c963a1de" targetNamespace="http://schemas.microsoft.com/office/2006/metadata/properties" ma:root="true" ma:fieldsID="8552011bbdbb6b9c782f1c1e7d1bee65" ns2:_="">
    <xsd:import namespace="34f70b63-4224-473b-ac88-56a1c963a1de"/>
    <xsd:element name="properties">
      <xsd:complexType>
        <xsd:sequence>
          <xsd:element name="documentManagement">
            <xsd:complexType>
              <xsd:all>
                <xsd:element ref="ns2:Frequently_x0020_Us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f70b63-4224-473b-ac88-56a1c963a1de" elementFormDefault="qualified">
    <xsd:import namespace="http://schemas.microsoft.com/office/2006/documentManagement/types"/>
    <xsd:element name="Frequently_x0020_Used" ma:index="8" nillable="true" ma:displayName="Frequently Used" ma:description="Templates Used most often." ma:internalName="Frequently_x0020_Us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B78A-6F47-48B5-8411-3EFE2022F02B}">
  <ds:schemaRefs>
    <ds:schemaRef ds:uri="http://schemas.microsoft.com/office/2006/metadata/properties"/>
    <ds:schemaRef ds:uri="34f70b63-4224-473b-ac88-56a1c963a1de"/>
  </ds:schemaRefs>
</ds:datastoreItem>
</file>

<file path=customXml/itemProps2.xml><?xml version="1.0" encoding="utf-8"?>
<ds:datastoreItem xmlns:ds="http://schemas.openxmlformats.org/officeDocument/2006/customXml" ds:itemID="{4911C8D1-2F4F-4C13-A8EA-D9469E8B8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70b63-4224-473b-ac88-56a1c963a1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4486E50-4BFE-4B05-B44F-CAC882C86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DDE8E-CAE2-427F-8CA6-9AA173E1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9</Pages>
  <Words>2655</Words>
  <Characters>15135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International Monetary Fund</Company>
  <LinksUpToDate>false</LinksUpToDate>
  <CharactersWithSpaces>17755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Ipaliovalocal</dc:creator>
  <cp:keywords>IMF</cp:keywords>
  <cp:lastModifiedBy>Ipaliovalocal</cp:lastModifiedBy>
  <cp:revision>457</cp:revision>
  <cp:lastPrinted>2016-10-06T08:24:00Z</cp:lastPrinted>
  <dcterms:created xsi:type="dcterms:W3CDTF">2016-09-13T01:00:00Z</dcterms:created>
  <dcterms:modified xsi:type="dcterms:W3CDTF">2016-10-07T09:50:00Z</dcterms:modified>
</cp:coreProperties>
</file>