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20" w:rsidRPr="00053520" w:rsidRDefault="00053520" w:rsidP="006A7F13">
      <w:pPr>
        <w:jc w:val="center"/>
        <w:rPr>
          <w:b/>
          <w:u w:val="single"/>
        </w:rPr>
      </w:pPr>
      <w:r w:rsidRPr="00053520">
        <w:rPr>
          <w:b/>
          <w:u w:val="single"/>
        </w:rPr>
        <w:t>Десетте най-важни условия при</w:t>
      </w:r>
    </w:p>
    <w:p w:rsidR="006A7F13" w:rsidRPr="00053520" w:rsidRDefault="00053520" w:rsidP="006A7F13">
      <w:pPr>
        <w:jc w:val="center"/>
        <w:rPr>
          <w:b/>
          <w:u w:val="single"/>
        </w:rPr>
      </w:pPr>
      <w:r w:rsidRPr="00053520">
        <w:rPr>
          <w:b/>
          <w:u w:val="single"/>
        </w:rPr>
        <w:t>с</w:t>
      </w:r>
      <w:r w:rsidR="006A7F13" w:rsidRPr="00053520">
        <w:rPr>
          <w:b/>
          <w:u w:val="single"/>
        </w:rPr>
        <w:t>тудентско</w:t>
      </w:r>
      <w:r w:rsidRPr="00053520">
        <w:rPr>
          <w:b/>
          <w:u w:val="single"/>
        </w:rPr>
        <w:t>то</w:t>
      </w:r>
      <w:r w:rsidR="006A7F13" w:rsidRPr="00053520">
        <w:rPr>
          <w:b/>
          <w:u w:val="single"/>
        </w:rPr>
        <w:t xml:space="preserve"> кредитиране</w:t>
      </w:r>
    </w:p>
    <w:p w:rsidR="00053520" w:rsidRPr="006A7F13" w:rsidRDefault="00053520" w:rsidP="006A7F13">
      <w:pPr>
        <w:jc w:val="center"/>
        <w:rPr>
          <w:b/>
        </w:rPr>
      </w:pPr>
    </w:p>
    <w:p w:rsidR="006A7F13" w:rsidRDefault="006A7F13" w:rsidP="006A7F13"/>
    <w:p w:rsidR="006A7F13" w:rsidRPr="006A7F13" w:rsidRDefault="006A7F13" w:rsidP="006A7F13">
      <w:pPr>
        <w:pStyle w:val="ListParagraph"/>
        <w:numPr>
          <w:ilvl w:val="0"/>
          <w:numId w:val="1"/>
        </w:numPr>
        <w:rPr>
          <w:b/>
          <w:i/>
        </w:rPr>
      </w:pPr>
      <w:r w:rsidRPr="006A7F13">
        <w:rPr>
          <w:b/>
          <w:i/>
        </w:rPr>
        <w:t>Банките, които отпускат кредити на студенти и докторанти</w:t>
      </w:r>
    </w:p>
    <w:p w:rsidR="006A7F13" w:rsidRDefault="006A7F13" w:rsidP="006A7F13">
      <w:r>
        <w:t xml:space="preserve">Студентите и докторантите в Университета за национално и световно стопанство могат да </w:t>
      </w:r>
      <w:r w:rsidRPr="006A7F13">
        <w:t xml:space="preserve">кандидатстват за </w:t>
      </w:r>
      <w:r>
        <w:t xml:space="preserve">отпускане на кредит и сключване на договор към банките, подписали типов договор с министъра на образованието и науката: </w:t>
      </w:r>
    </w:p>
    <w:tbl>
      <w:tblPr>
        <w:tblW w:w="18955" w:type="dxa"/>
        <w:tblCellSpacing w:w="7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2689"/>
        <w:gridCol w:w="1053"/>
        <w:gridCol w:w="3909"/>
        <w:gridCol w:w="3569"/>
        <w:gridCol w:w="3840"/>
      </w:tblGrid>
      <w:tr w:rsidR="006A7F13" w:rsidRPr="00DA7FC3" w:rsidTr="00987EF4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8"/>
                <w:szCs w:val="18"/>
                <w:lang w:eastAsia="bg-BG"/>
              </w:rPr>
              <w:t> </w:t>
            </w: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 Име на търговската банка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Адрес  на търговската банка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 БУЛСТАТ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 xml:space="preserve"> Номер на типовия договор с министъра на </w:t>
            </w:r>
          </w:p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обр</w:t>
            </w:r>
            <w:r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азованието</w:t>
            </w: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 xml:space="preserve"> и науката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 Дата на изменение на типовия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 Дата на прекратяване на типовия договор</w:t>
            </w:r>
          </w:p>
        </w:tc>
      </w:tr>
      <w:tr w:rsidR="006A7F13" w:rsidRPr="00DA7FC3" w:rsidTr="00987EF4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 Банка ДСК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 xml:space="preserve"> София 1036, </w:t>
            </w: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br/>
              <w:t>  ул. "Московска" 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121830616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№ Д 01-519/21.06.2010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</w:tr>
      <w:tr w:rsidR="006A7F13" w:rsidRPr="00DA7FC3" w:rsidTr="00987EF4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 Райфайзенбанк  (България)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София 1504, район "Средец",</w:t>
            </w: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br/>
              <w:t>  ул. "Гогол" № 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831558413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№ Д 01-530/29.06.2010 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</w:tr>
      <w:tr w:rsidR="006A7F13" w:rsidRPr="00DA7FC3" w:rsidTr="00987EF4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Алианц Банк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София,</w:t>
            </w: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br/>
              <w:t>бул. "Мария Луиза" №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128001319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№ Д 01-148/08.07.2011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</w:tr>
      <w:tr w:rsidR="006A7F13" w:rsidRPr="00DA7FC3" w:rsidTr="00987EF4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Юробанк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 xml:space="preserve">София, </w:t>
            </w: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br/>
              <w:t>ул."Околовръстен път"  №260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000694749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№ Д 01-4190/08.07.2013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F13" w:rsidRPr="00DA7FC3" w:rsidRDefault="006A7F13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 w:rsidRPr="00DA7FC3"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  <w:t> </w:t>
            </w:r>
          </w:p>
        </w:tc>
      </w:tr>
      <w:tr w:rsidR="002A6A01" w:rsidRPr="00DA7FC3" w:rsidTr="00987EF4">
        <w:trPr>
          <w:tblCellSpacing w:w="7" w:type="dxa"/>
        </w:trPr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A01" w:rsidRPr="00DA7FC3" w:rsidRDefault="002A6A01" w:rsidP="00987E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4B4B4B"/>
                <w:sz w:val="17"/>
                <w:szCs w:val="17"/>
                <w:lang w:eastAsia="bg-BG"/>
              </w:rPr>
              <w:t>Първа инвестиционна банка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A01" w:rsidRPr="00DA7FC3" w:rsidRDefault="002A6A01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>
              <w:rPr>
                <w:rFonts w:ascii="Trebuchet MS" w:hAnsi="Trebuchet MS"/>
                <w:color w:val="7C7C7C"/>
                <w:sz w:val="19"/>
                <w:szCs w:val="19"/>
                <w:shd w:val="clear" w:color="auto" w:fill="F7F7F7"/>
              </w:rPr>
              <w:t>бул. "Драган Цанков" № 37</w:t>
            </w:r>
            <w:r>
              <w:rPr>
                <w:rFonts w:ascii="Trebuchet MS" w:hAnsi="Trebuchet MS"/>
                <w:color w:val="7C7C7C"/>
                <w:sz w:val="19"/>
                <w:szCs w:val="19"/>
              </w:rPr>
              <w:br/>
            </w:r>
            <w:r>
              <w:rPr>
                <w:rFonts w:ascii="Trebuchet MS" w:hAnsi="Trebuchet MS"/>
                <w:color w:val="7C7C7C"/>
                <w:sz w:val="19"/>
                <w:szCs w:val="19"/>
                <w:shd w:val="clear" w:color="auto" w:fill="F7F7F7"/>
              </w:rPr>
              <w:t>гр. София, 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A01" w:rsidRPr="00DA7FC3" w:rsidRDefault="002A6A01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877349973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A01" w:rsidRPr="00DA7FC3" w:rsidRDefault="002A6A01" w:rsidP="00987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A01" w:rsidRPr="00DA7FC3" w:rsidRDefault="002A6A01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A01" w:rsidRPr="00DA7FC3" w:rsidRDefault="002A6A01" w:rsidP="00987EF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bg-BG"/>
              </w:rPr>
            </w:pPr>
          </w:p>
        </w:tc>
      </w:tr>
    </w:tbl>
    <w:p w:rsidR="006A7F13" w:rsidRDefault="006A7F13" w:rsidP="00053520">
      <w:pPr>
        <w:spacing w:before="100" w:beforeAutospacing="1" w:after="100" w:afterAutospacing="1" w:line="240" w:lineRule="auto"/>
        <w:jc w:val="both"/>
      </w:pPr>
      <w:r w:rsidRPr="00DA7FC3">
        <w:rPr>
          <w:rFonts w:ascii="Arial" w:eastAsia="Times New Roman" w:hAnsi="Arial" w:cs="Arial"/>
          <w:color w:val="4B4B4B"/>
          <w:sz w:val="18"/>
          <w:szCs w:val="18"/>
          <w:lang w:eastAsia="bg-BG"/>
        </w:rPr>
        <w:t> </w:t>
      </w:r>
      <w:r>
        <w:t xml:space="preserve">1.Банка "ДСК" ЕАД - </w:t>
      </w:r>
      <w:hyperlink r:id="rId5" w:history="1">
        <w:r w:rsidR="003B5910" w:rsidRPr="00E968AC">
          <w:rPr>
            <w:rStyle w:val="Hyperlink"/>
          </w:rPr>
          <w:t>https://dskbank.bg/Page/default.aspx?xml_id=/bg-BG/Individuals/credits/consumer/studentloan/</w:t>
        </w:r>
      </w:hyperlink>
    </w:p>
    <w:p w:rsidR="006A7F13" w:rsidRDefault="006A7F13" w:rsidP="00053520">
      <w:pPr>
        <w:jc w:val="both"/>
      </w:pPr>
      <w:r>
        <w:t>2.Райфайзенбанк ЕАД</w:t>
      </w:r>
      <w:r w:rsidR="003B5910">
        <w:t xml:space="preserve"> - </w:t>
      </w:r>
      <w:hyperlink r:id="rId6" w:history="1">
        <w:r w:rsidR="003B5910" w:rsidRPr="00E968AC">
          <w:rPr>
            <w:rStyle w:val="Hyperlink"/>
          </w:rPr>
          <w:t>http://rbb.bg/bg-BG/Private_Customers/01_Financing/05_studentski/</w:t>
        </w:r>
      </w:hyperlink>
    </w:p>
    <w:p w:rsidR="006A7F13" w:rsidRDefault="006A7F13" w:rsidP="00053520">
      <w:pPr>
        <w:jc w:val="both"/>
      </w:pPr>
      <w:r>
        <w:t>3.Алианц Банк България</w:t>
      </w:r>
      <w:r w:rsidR="003B5910">
        <w:t xml:space="preserve"> - </w:t>
      </w:r>
      <w:hyperlink r:id="rId7" w:history="1">
        <w:r w:rsidR="003B5910" w:rsidRPr="00E968AC">
          <w:rPr>
            <w:rStyle w:val="Hyperlink"/>
          </w:rPr>
          <w:t>http://www.bank.allianz.bg/index.php?page=credit_students</w:t>
        </w:r>
      </w:hyperlink>
    </w:p>
    <w:p w:rsidR="006A7F13" w:rsidRDefault="003B5910" w:rsidP="00053520">
      <w:pPr>
        <w:jc w:val="both"/>
        <w:rPr>
          <w:rStyle w:val="Hyperlink"/>
        </w:rPr>
      </w:pPr>
      <w:r>
        <w:t xml:space="preserve">4. </w:t>
      </w:r>
      <w:r w:rsidRPr="003B5910">
        <w:t>Юробанк България АД</w:t>
      </w:r>
      <w:r>
        <w:t xml:space="preserve"> - </w:t>
      </w:r>
      <w:hyperlink r:id="rId8" w:history="1">
        <w:r w:rsidRPr="00E968AC">
          <w:rPr>
            <w:rStyle w:val="Hyperlink"/>
          </w:rPr>
          <w:t>https://www.postbank.bg/bg-BG/AboutUs/04MediaCenter/.NewsDetail?id=313e0fbe-fd1b-4920-8a4e-82fe03a12855</w:t>
        </w:r>
      </w:hyperlink>
    </w:p>
    <w:p w:rsidR="002A6A01" w:rsidRPr="002A6A01" w:rsidRDefault="002A6A01" w:rsidP="00053520">
      <w:pPr>
        <w:jc w:val="both"/>
      </w:pPr>
      <w:r w:rsidRPr="002A6A01">
        <w:rPr>
          <w:rStyle w:val="Hyperlink"/>
          <w:color w:val="auto"/>
          <w:u w:val="none"/>
        </w:rPr>
        <w:t>5. Първа инвестиционна банка АД</w:t>
      </w:r>
      <w:r w:rsidR="00380320">
        <w:rPr>
          <w:rStyle w:val="Hyperlink"/>
          <w:color w:val="auto"/>
          <w:u w:val="none"/>
        </w:rPr>
        <w:t xml:space="preserve"> - </w:t>
      </w:r>
      <w:hyperlink r:id="rId9" w:history="1">
        <w:r w:rsidR="00380320" w:rsidRPr="0020396D">
          <w:rPr>
            <w:rStyle w:val="Hyperlink"/>
          </w:rPr>
          <w:t>https://www.fibank.bg/bg</w:t>
        </w:r>
      </w:hyperlink>
      <w:r w:rsidR="00380320"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</w:p>
    <w:p w:rsidR="006A7F13" w:rsidRPr="003B5910" w:rsidRDefault="003B5910" w:rsidP="00053520">
      <w:pPr>
        <w:jc w:val="both"/>
        <w:rPr>
          <w:b/>
          <w:i/>
        </w:rPr>
      </w:pPr>
      <w:r w:rsidRPr="003B5910">
        <w:rPr>
          <w:b/>
          <w:i/>
        </w:rPr>
        <w:t>2. С</w:t>
      </w:r>
      <w:r w:rsidR="006A7F13" w:rsidRPr="003B5910">
        <w:rPr>
          <w:b/>
          <w:i/>
        </w:rPr>
        <w:t>туденти</w:t>
      </w:r>
      <w:r w:rsidRPr="003B5910">
        <w:rPr>
          <w:b/>
          <w:i/>
        </w:rPr>
        <w:t>те</w:t>
      </w:r>
      <w:r w:rsidR="006A7F13" w:rsidRPr="003B5910">
        <w:rPr>
          <w:b/>
          <w:i/>
        </w:rPr>
        <w:t xml:space="preserve"> и докторанти</w:t>
      </w:r>
      <w:r w:rsidRPr="003B5910">
        <w:rPr>
          <w:b/>
          <w:i/>
        </w:rPr>
        <w:t>те, които</w:t>
      </w:r>
      <w:r w:rsidR="006A7F13" w:rsidRPr="003B5910">
        <w:rPr>
          <w:b/>
          <w:i/>
        </w:rPr>
        <w:t xml:space="preserve"> могат да кандидатстват за кредит</w:t>
      </w:r>
    </w:p>
    <w:p w:rsidR="006A7F13" w:rsidRDefault="006A7F13" w:rsidP="00053520">
      <w:pPr>
        <w:jc w:val="both"/>
      </w:pPr>
      <w:r>
        <w:t xml:space="preserve">За кредит могат да кандидатстват студенти и докторанти, които отговарят едновременно на следните изисквания: 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са български граждани, граждани на друга държава-членка на Европейския съюз, на друга държава от Европейското икономическо пространство или на Конфедерация Швейцария;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не са навършили 35 години;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се обучават в редовна форма;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нямат придобита същата образователно-квалификационна степен(ОКС);</w:t>
      </w:r>
    </w:p>
    <w:p w:rsidR="006A7F13" w:rsidRDefault="00622315" w:rsidP="00053520">
      <w:pPr>
        <w:jc w:val="both"/>
      </w:pPr>
      <w:r>
        <w:t xml:space="preserve">- </w:t>
      </w:r>
      <w:r w:rsidR="006A7F13">
        <w:t>да не са отстранени и не са прекъснали обучението си.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lastRenderedPageBreak/>
        <w:t xml:space="preserve">3. </w:t>
      </w:r>
      <w:r w:rsidR="006A7F13" w:rsidRPr="00622315">
        <w:rPr>
          <w:b/>
          <w:i/>
        </w:rPr>
        <w:t xml:space="preserve">Какъв е размерът на лихвата? </w:t>
      </w:r>
    </w:p>
    <w:p w:rsidR="006A7F13" w:rsidRDefault="00622315" w:rsidP="00053520">
      <w:pPr>
        <w:jc w:val="both"/>
      </w:pPr>
      <w:r>
        <w:t xml:space="preserve">- </w:t>
      </w:r>
      <w:r w:rsidR="006A7F13">
        <w:t>Лихвата е годишна, фиксирана и не може да надхвърля 7 пункта.</w:t>
      </w:r>
    </w:p>
    <w:p w:rsidR="006A7F13" w:rsidRDefault="00622315" w:rsidP="00053520">
      <w:pPr>
        <w:jc w:val="both"/>
      </w:pPr>
      <w:r>
        <w:t xml:space="preserve">- </w:t>
      </w:r>
      <w:r w:rsidR="006A7F13">
        <w:t>Кредитополучателят не дължи заплащане на такси, комисионни или други разходи, свързани с отпускането и управлението на кредита.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 xml:space="preserve">4. Необходими </w:t>
      </w:r>
      <w:r w:rsidR="006A7F13" w:rsidRPr="00622315">
        <w:rPr>
          <w:b/>
          <w:i/>
        </w:rPr>
        <w:t xml:space="preserve">документи при кандидатстването за отпускане на кредит </w:t>
      </w:r>
    </w:p>
    <w:p w:rsidR="006A7F13" w:rsidRDefault="00622315" w:rsidP="00053520">
      <w:pPr>
        <w:jc w:val="both"/>
      </w:pPr>
      <w:r>
        <w:t xml:space="preserve">- </w:t>
      </w:r>
      <w:r w:rsidR="006A7F13">
        <w:t>Копие от документ за самоличност;</w:t>
      </w:r>
    </w:p>
    <w:p w:rsidR="006A7F13" w:rsidRDefault="00622315" w:rsidP="00053520">
      <w:pPr>
        <w:jc w:val="both"/>
      </w:pPr>
      <w:r>
        <w:t xml:space="preserve">- </w:t>
      </w:r>
      <w:r w:rsidR="006A7F13">
        <w:t>Документ, удостоверяващ качеството на студент или докторант с право да се запише за следващ семестър;</w:t>
      </w:r>
    </w:p>
    <w:p w:rsidR="006A7F13" w:rsidRDefault="00622315" w:rsidP="00053520">
      <w:pPr>
        <w:jc w:val="both"/>
      </w:pPr>
      <w:r>
        <w:t xml:space="preserve">- </w:t>
      </w:r>
      <w:r w:rsidR="006A7F13">
        <w:t>Декларация, че няма придобита същата образователно-квалификационна или образователна и научна степен</w:t>
      </w:r>
      <w:r>
        <w:t xml:space="preserve"> </w:t>
      </w:r>
      <w:r w:rsidR="006A7F13">
        <w:t>(ОНС).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5. В</w:t>
      </w:r>
      <w:r w:rsidR="006A7F13" w:rsidRPr="00622315">
        <w:rPr>
          <w:b/>
          <w:i/>
        </w:rPr>
        <w:t xml:space="preserve">идове кредити </w:t>
      </w:r>
    </w:p>
    <w:p w:rsidR="006A7F13" w:rsidRDefault="00622315" w:rsidP="00053520">
      <w:pPr>
        <w:jc w:val="both"/>
      </w:pPr>
      <w:r>
        <w:t xml:space="preserve">- </w:t>
      </w:r>
      <w:r w:rsidR="006A7F13">
        <w:t>Кредит за заплащане на таксите за обучение.</w:t>
      </w:r>
    </w:p>
    <w:p w:rsidR="006A7F13" w:rsidRDefault="00622315" w:rsidP="00053520">
      <w:pPr>
        <w:jc w:val="both"/>
      </w:pPr>
      <w:r>
        <w:t xml:space="preserve">- </w:t>
      </w:r>
      <w:r w:rsidR="006A7F13">
        <w:t>Кредит за издръжка.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6. Р</w:t>
      </w:r>
      <w:r w:rsidR="006A7F13" w:rsidRPr="00622315">
        <w:rPr>
          <w:b/>
          <w:i/>
        </w:rPr>
        <w:t>азмерът на кредита за заплащане на таксите за обучение</w:t>
      </w:r>
    </w:p>
    <w:p w:rsidR="006A7F13" w:rsidRDefault="00622315" w:rsidP="00053520">
      <w:pPr>
        <w:jc w:val="both"/>
      </w:pPr>
      <w:r>
        <w:t>Той е</w:t>
      </w:r>
      <w:r w:rsidR="006A7F13">
        <w:t xml:space="preserve"> равен на дължимите такси за оставащия срок на обучение на кредитополучателя съгласно учебния план на съответната специалност и ОКС или ОНС.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7. Р</w:t>
      </w:r>
      <w:r w:rsidR="006A7F13" w:rsidRPr="00622315">
        <w:rPr>
          <w:b/>
          <w:i/>
        </w:rPr>
        <w:t>азмерът на кредита за издръжка</w:t>
      </w:r>
    </w:p>
    <w:p w:rsidR="006A7F13" w:rsidRDefault="006A7F13" w:rsidP="00053520">
      <w:pPr>
        <w:jc w:val="both"/>
      </w:pPr>
      <w:r>
        <w:t>Размерът на кредита за издръжка се формира като сбор от семестриалните издръжки за оставащия срок на обучение на кредитополучателя съгласно учебния план на съответната специалност и ОКС или ОНС. Семестриалната издръжка е равна на минималната работна заплата, умножена по броя на месеците през съответния семестър.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 xml:space="preserve">8. </w:t>
      </w:r>
      <w:r w:rsidR="006A7F13" w:rsidRPr="00622315">
        <w:rPr>
          <w:b/>
          <w:i/>
        </w:rPr>
        <w:t>Кой има право на кредит за издръжка?</w:t>
      </w:r>
    </w:p>
    <w:p w:rsidR="006A7F13" w:rsidRDefault="006A7F13" w:rsidP="00053520">
      <w:pPr>
        <w:jc w:val="both"/>
      </w:pPr>
      <w:r>
        <w:t>Право на кредит за издръжка възниква при раждане или пълно осиновяване на дете по време на обучението. Правото се ползва от родителя, който упражнява родителските права, а ако това са и двамата родители – само от единия.</w:t>
      </w: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9. И</w:t>
      </w:r>
      <w:r w:rsidR="006A7F13" w:rsidRPr="00622315">
        <w:rPr>
          <w:b/>
          <w:i/>
        </w:rPr>
        <w:t>зплаща</w:t>
      </w:r>
      <w:r w:rsidRPr="00622315">
        <w:rPr>
          <w:b/>
          <w:i/>
        </w:rPr>
        <w:t>не на</w:t>
      </w:r>
      <w:r w:rsidR="006A7F13" w:rsidRPr="00622315">
        <w:rPr>
          <w:b/>
          <w:i/>
        </w:rPr>
        <w:t xml:space="preserve"> парите и по двата типа студентски кредити </w:t>
      </w:r>
    </w:p>
    <w:p w:rsidR="006A7F13" w:rsidRDefault="006A7F13" w:rsidP="00053520">
      <w:pPr>
        <w:jc w:val="both"/>
      </w:pPr>
      <w:r>
        <w:t>1.Кредитът за заплащане на таксите за обучение се усвоява чрез преводи по банковата сметка на висшето училище или научната организация в срок, определен в договора за кредит, но не по-късно от последната дата за заплащане на таксата за обучение на съответния семестър.</w:t>
      </w:r>
    </w:p>
    <w:p w:rsidR="006A7F13" w:rsidRDefault="006A7F13" w:rsidP="00053520">
      <w:pPr>
        <w:jc w:val="both"/>
      </w:pPr>
      <w:r>
        <w:t>Средствата за таксата, дължима за първия семестър на първата година от обучението за придобиване на ОКС или ОНС, се възстановяват по сметка на кредитополучателя в тридневен срок след представяне на документ, удостоверяващ, че е платена таксата за обучение.</w:t>
      </w:r>
    </w:p>
    <w:p w:rsidR="006A7F13" w:rsidRDefault="006A7F13" w:rsidP="00053520">
      <w:pPr>
        <w:jc w:val="both"/>
      </w:pPr>
      <w:r>
        <w:lastRenderedPageBreak/>
        <w:t>2.Кредитът за издръжка се усвоява чрез преводи по сметка на кредитополучателя в началото на всеки семестър съгласно договора за кредит.</w:t>
      </w:r>
    </w:p>
    <w:p w:rsidR="006A7F13" w:rsidRDefault="006A7F13" w:rsidP="00053520">
      <w:pPr>
        <w:jc w:val="both"/>
      </w:pPr>
    </w:p>
    <w:p w:rsidR="006A7F13" w:rsidRDefault="006A7F13" w:rsidP="00053520">
      <w:pPr>
        <w:jc w:val="both"/>
      </w:pPr>
    </w:p>
    <w:p w:rsidR="006A7F13" w:rsidRPr="00622315" w:rsidRDefault="00622315" w:rsidP="00053520">
      <w:pPr>
        <w:jc w:val="both"/>
        <w:rPr>
          <w:b/>
          <w:i/>
        </w:rPr>
      </w:pPr>
      <w:r w:rsidRPr="00622315">
        <w:rPr>
          <w:b/>
          <w:i/>
        </w:rPr>
        <w:t>10. Връщане на кредита</w:t>
      </w:r>
    </w:p>
    <w:p w:rsidR="006A7F13" w:rsidRDefault="006A7F13" w:rsidP="00053520">
      <w:pPr>
        <w:jc w:val="both"/>
      </w:pPr>
      <w:r>
        <w:t>Изплащането на кредита започва един месец след изтичане на гратисния период съгласно погасителния план, уговорен между страните. Кредитополучателят погасява общия размер на кредита на равни месечни погасителни вноски в 10-годишен срок, считано от края на гратисния период.</w:t>
      </w:r>
    </w:p>
    <w:p w:rsidR="00622315" w:rsidRDefault="00622315" w:rsidP="00053520">
      <w:pPr>
        <w:jc w:val="both"/>
      </w:pPr>
      <w:r>
        <w:t>Отсрочването на изпълнението на задълженията на кредитополучателя става при:</w:t>
      </w:r>
    </w:p>
    <w:p w:rsidR="006A7F13" w:rsidRDefault="00622315" w:rsidP="00053520">
      <w:pPr>
        <w:jc w:val="both"/>
      </w:pPr>
      <w:r>
        <w:t xml:space="preserve">- </w:t>
      </w:r>
      <w:r w:rsidR="006A7F13">
        <w:t xml:space="preserve"> настъпване на трайна нетрудоспособност 70 или над 70 на сто – за срока, определен в експертното решение на ТЕЛК или НЕЛК, но за не повече от три години от датата на инвалидизиране.</w:t>
      </w:r>
    </w:p>
    <w:p w:rsidR="006A7F13" w:rsidRDefault="00622315" w:rsidP="00053520">
      <w:pPr>
        <w:jc w:val="both"/>
      </w:pPr>
      <w:r>
        <w:t xml:space="preserve">- </w:t>
      </w:r>
      <w:r w:rsidR="006A7F13">
        <w:t xml:space="preserve"> записване в редовна форма на обучение за придобиване на следваща ОКС или ОНС</w:t>
      </w:r>
    </w:p>
    <w:p w:rsidR="00053520" w:rsidRDefault="00622315" w:rsidP="00053520">
      <w:pPr>
        <w:jc w:val="both"/>
      </w:pPr>
      <w:r>
        <w:t xml:space="preserve">Държавата заплаща непогасената част от </w:t>
      </w:r>
      <w:r w:rsidR="006A7F13">
        <w:t>общия размер на задължението</w:t>
      </w:r>
      <w:r w:rsidR="00053520">
        <w:t xml:space="preserve"> </w:t>
      </w:r>
      <w:r w:rsidR="006A7F13">
        <w:t>(главница и лихви) по договора за кредит</w:t>
      </w:r>
      <w:r w:rsidR="00053520">
        <w:t xml:space="preserve"> при:</w:t>
      </w:r>
    </w:p>
    <w:p w:rsidR="006A7F13" w:rsidRDefault="00053520" w:rsidP="00053520">
      <w:pPr>
        <w:jc w:val="both"/>
      </w:pPr>
      <w:r>
        <w:t xml:space="preserve">1. </w:t>
      </w:r>
      <w:r w:rsidR="006A7F13">
        <w:t>Смърт на кредитополучателя;</w:t>
      </w:r>
    </w:p>
    <w:p w:rsidR="006A7F13" w:rsidRDefault="006A7F13" w:rsidP="00053520">
      <w:pPr>
        <w:jc w:val="both"/>
      </w:pPr>
      <w:r>
        <w:t>2.</w:t>
      </w:r>
      <w:r w:rsidR="00053520">
        <w:t xml:space="preserve"> </w:t>
      </w:r>
      <w:r>
        <w:t>Настъпване на трайна нетрудоспособност 70 или над 70 на сто за срок, по-дълъг от 3 години от датата на инвалидизиране;</w:t>
      </w:r>
    </w:p>
    <w:p w:rsidR="006A7F13" w:rsidRDefault="006A7F13" w:rsidP="00053520">
      <w:pPr>
        <w:jc w:val="both"/>
      </w:pPr>
      <w:r>
        <w:t>3.</w:t>
      </w:r>
      <w:r w:rsidR="00053520">
        <w:t xml:space="preserve"> </w:t>
      </w:r>
      <w:r>
        <w:t>Раждане или пълно осиновяване на второ или следващо дете в рамките на 5 години от изтичането на гратисния период</w:t>
      </w:r>
      <w:r w:rsidR="00053520">
        <w:t xml:space="preserve"> </w:t>
      </w:r>
      <w:r>
        <w:t>(това право може да се ползва само от единия родител).</w:t>
      </w:r>
    </w:p>
    <w:p w:rsidR="006A7F13" w:rsidRDefault="006A7F13" w:rsidP="006A7F13"/>
    <w:p w:rsidR="006A7F13" w:rsidRDefault="006A7F13" w:rsidP="006A7F13"/>
    <w:p w:rsidR="00F60CB8" w:rsidRDefault="00F60CB8"/>
    <w:sectPr w:rsidR="00F6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1F9"/>
    <w:multiLevelType w:val="hybridMultilevel"/>
    <w:tmpl w:val="EA7A026A"/>
    <w:lvl w:ilvl="0" w:tplc="89F61A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2B8"/>
    <w:multiLevelType w:val="hybridMultilevel"/>
    <w:tmpl w:val="86FAA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ADF"/>
    <w:multiLevelType w:val="hybridMultilevel"/>
    <w:tmpl w:val="0F242EF0"/>
    <w:lvl w:ilvl="0" w:tplc="710672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0"/>
    <w:rsid w:val="00053520"/>
    <w:rsid w:val="002A6A01"/>
    <w:rsid w:val="00380320"/>
    <w:rsid w:val="003B5910"/>
    <w:rsid w:val="00622315"/>
    <w:rsid w:val="006A7F13"/>
    <w:rsid w:val="00BF4B90"/>
    <w:rsid w:val="00F60CB8"/>
    <w:rsid w:val="00F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4B97"/>
  <w15:docId w15:val="{76A93320-0C03-4757-9F79-5706BD8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bank.bg/bg-BG/AboutUs/04MediaCenter/.NewsDetail?id=313e0fbe-fd1b-4920-8a4e-82fe03a12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.allianz.bg/index.php?page=credit_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b.bg/bg-BG/Private_Customers/01_Financing/05_students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kbank.bg/Page/default.aspx?xml_id=/bg-BG/Individuals/credits/consumer/studentloa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bank.bg/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Venko Andonov</cp:lastModifiedBy>
  <cp:revision>4</cp:revision>
  <dcterms:created xsi:type="dcterms:W3CDTF">2013-09-18T12:01:00Z</dcterms:created>
  <dcterms:modified xsi:type="dcterms:W3CDTF">2016-07-14T13:02:00Z</dcterms:modified>
</cp:coreProperties>
</file>